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7FF70">
      <w:pPr>
        <w:pStyle w:val="10"/>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503771</w:t>
      </w:r>
      <w:bookmarkStart w:id="7" w:name="_GoBack"/>
      <w:bookmarkEnd w:id="7"/>
      <w:r>
        <w:rPr>
          <w:b/>
          <w:sz w:val="24"/>
          <w:szCs w:val="24"/>
          <w:highlight w:val="none"/>
        </w:rPr>
        <w:t xml:space="preserve">                      </w:t>
      </w:r>
    </w:p>
    <w:bookmarkEnd w:id="0"/>
    <w:bookmarkEnd w:id="1"/>
    <w:p w14:paraId="5C25862B">
      <w:pPr>
        <w:pStyle w:val="10"/>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Wuhan, Hubei, China, 07</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11</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April</w:t>
      </w:r>
      <w:r>
        <w:rPr>
          <w:rFonts w:hint="default" w:ascii="Times New Roman" w:hAnsi="Times New Roman" w:cs="Times New Roman"/>
          <w:b/>
          <w:bCs/>
          <w:sz w:val="24"/>
          <w:highlight w:val="none"/>
        </w:rPr>
        <w:t>, 2025</w:t>
      </w:r>
    </w:p>
    <w:p w14:paraId="3ADB2E0B">
      <w:pPr>
        <w:tabs>
          <w:tab w:val="left" w:pos="1985"/>
        </w:tabs>
        <w:rPr>
          <w:rFonts w:ascii="Times New Roman" w:hAnsi="Times New Roman"/>
          <w:b/>
          <w:sz w:val="22"/>
          <w:highlight w:val="none"/>
        </w:rPr>
      </w:pPr>
    </w:p>
    <w:p w14:paraId="7027D5FD">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19</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1FCBB455">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4BA4A0E5">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requirements for positioning accuracy enhancement</w:t>
      </w:r>
    </w:p>
    <w:bookmarkEnd w:id="4"/>
    <w:bookmarkEnd w:id="5"/>
    <w:p w14:paraId="5949F04A">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65B7223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FDD65FA">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 xml:space="preserve">The </w:t>
      </w:r>
      <w:r>
        <w:rPr>
          <w:rFonts w:hint="eastAsia" w:ascii="Times New Roman" w:hAnsi="Times New Roman"/>
          <w:sz w:val="20"/>
          <w:szCs w:val="20"/>
          <w:lang w:val="en-US" w:eastAsia="zh-CN"/>
        </w:rPr>
        <w:t xml:space="preserve">related </w:t>
      </w:r>
      <w:r>
        <w:rPr>
          <w:rFonts w:ascii="Times New Roman" w:hAnsi="Times New Roman"/>
          <w:sz w:val="20"/>
          <w:szCs w:val="20"/>
        </w:rPr>
        <w:t>objectives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592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43462263">
            <w:pPr>
              <w:numPr>
                <w:ilvl w:val="0"/>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Positioning accuracy enhancements, encompassing [RAN1/RAN2/RAN3]:</w:t>
            </w:r>
          </w:p>
          <w:p w14:paraId="15DC6D1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Direct AI/ML positioning:</w:t>
            </w:r>
          </w:p>
          <w:p w14:paraId="6B494076">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1: </w:t>
            </w:r>
            <w:r>
              <w:rPr>
                <w:rFonts w:hint="default" w:ascii="Times New Roman" w:hAnsi="Times New Roman" w:cs="Times New Roman"/>
                <w:sz w:val="20"/>
                <w:szCs w:val="20"/>
              </w:rPr>
              <w:t>UE-based positioning with UE-side model, direct AI/ML positioning</w:t>
            </w:r>
          </w:p>
          <w:p w14:paraId="7BDC2844">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Case 2b: </w:t>
            </w:r>
            <w:r>
              <w:rPr>
                <w:rFonts w:hint="default" w:ascii="Times New Roman" w:hAnsi="Times New Roman" w:cs="Times New Roman"/>
                <w:sz w:val="20"/>
                <w:szCs w:val="20"/>
              </w:rPr>
              <w:t>UE-assisted/LMF-based positioning with LMF-side model, direct AI/ML positioning</w:t>
            </w:r>
          </w:p>
          <w:p w14:paraId="3FAB9B49">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3b:</w:t>
            </w:r>
            <w:r>
              <w:rPr>
                <w:rFonts w:hint="default" w:ascii="Times New Roman" w:hAnsi="Times New Roman" w:cs="Times New Roman"/>
                <w:sz w:val="20"/>
                <w:szCs w:val="20"/>
              </w:rPr>
              <w:t xml:space="preserve"> NG-RAN node assisted positioning with LMF-side model, direct AI/ML positioning</w:t>
            </w:r>
          </w:p>
          <w:p w14:paraId="49DB225B">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AI/ML assisted positioning </w:t>
            </w:r>
            <w:r>
              <w:rPr>
                <w:rFonts w:hint="default" w:ascii="Times New Roman" w:hAnsi="Times New Roman" w:cs="Times New Roman"/>
                <w:bCs/>
                <w:sz w:val="20"/>
                <w:szCs w:val="20"/>
              </w:rPr>
              <w:tab/>
            </w:r>
            <w:r>
              <w:rPr>
                <w:rFonts w:hint="default" w:ascii="Times New Roman" w:hAnsi="Times New Roman" w:cs="Times New Roman"/>
                <w:bCs/>
                <w:sz w:val="20"/>
                <w:szCs w:val="20"/>
              </w:rPr>
              <w:tab/>
            </w:r>
            <w:r>
              <w:rPr>
                <w:rFonts w:hint="default" w:ascii="Times New Roman" w:hAnsi="Times New Roman" w:cs="Times New Roman"/>
                <w:bCs/>
                <w:sz w:val="20"/>
                <w:szCs w:val="20"/>
              </w:rPr>
              <w:t xml:space="preserve"> </w:t>
            </w:r>
          </w:p>
          <w:p w14:paraId="0E84C7E6">
            <w:pPr>
              <w:numPr>
                <w:ilvl w:val="2"/>
                <w:numId w:val="4"/>
              </w:numPr>
              <w:spacing w:after="0"/>
              <w:rPr>
                <w:rFonts w:hint="default" w:ascii="Times New Roman" w:hAnsi="Times New Roman" w:cs="Times New Roman"/>
                <w:bCs/>
                <w:color w:val="BFBFBF"/>
                <w:sz w:val="20"/>
                <w:szCs w:val="20"/>
              </w:rPr>
            </w:pPr>
            <w:r>
              <w:rPr>
                <w:rFonts w:hint="default" w:ascii="Times New Roman" w:hAnsi="Times New Roman" w:cs="Times New Roman"/>
                <w:bCs/>
                <w:sz w:val="20"/>
                <w:szCs w:val="20"/>
              </w:rPr>
              <w:t>(2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Case 2a: </w:t>
            </w:r>
            <w:r>
              <w:rPr>
                <w:rFonts w:hint="default" w:ascii="Times New Roman" w:hAnsi="Times New Roman" w:cs="Times New Roman"/>
                <w:sz w:val="20"/>
                <w:szCs w:val="20"/>
              </w:rPr>
              <w:t>UE-assisted/LMF-based positioning with UE-side model, AI/ML assisted positioning</w:t>
            </w:r>
            <w:r>
              <w:rPr>
                <w:rFonts w:hint="default" w:ascii="Times New Roman" w:hAnsi="Times New Roman" w:cs="Times New Roman"/>
                <w:bCs/>
                <w:color w:val="BFBFBF"/>
                <w:sz w:val="20"/>
                <w:szCs w:val="20"/>
              </w:rPr>
              <w:tab/>
            </w:r>
          </w:p>
          <w:p w14:paraId="021F0259">
            <w:pPr>
              <w:numPr>
                <w:ilvl w:val="2"/>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(1</w:t>
            </w:r>
            <w:r>
              <w:rPr>
                <w:rFonts w:hint="default" w:ascii="Times New Roman" w:hAnsi="Times New Roman" w:cs="Times New Roman"/>
                <w:bCs/>
                <w:sz w:val="20"/>
                <w:szCs w:val="20"/>
                <w:vertAlign w:val="superscript"/>
              </w:rPr>
              <w:t>st</w:t>
            </w:r>
            <w:r>
              <w:rPr>
                <w:rFonts w:hint="default" w:ascii="Times New Roman" w:hAnsi="Times New Roman" w:cs="Times New Roman"/>
                <w:bCs/>
                <w:sz w:val="20"/>
                <w:szCs w:val="20"/>
              </w:rPr>
              <w:t xml:space="preserve"> priority) Case 3a: </w:t>
            </w:r>
            <w:r>
              <w:rPr>
                <w:rFonts w:hint="default" w:ascii="Times New Roman" w:hAnsi="Times New Roman" w:cs="Times New Roman"/>
                <w:sz w:val="20"/>
                <w:szCs w:val="20"/>
              </w:rPr>
              <w:t>NG-RAN node assisted positioning with gNB-side model, AI/ML assisted positioning</w:t>
            </w:r>
          </w:p>
          <w:p w14:paraId="4628B73D">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measurements, signalling/mechanism(s) to facilitate LCM operations specific to the Positioning accuracy enhancements use cases, if any</w:t>
            </w:r>
          </w:p>
          <w:p w14:paraId="49DF7FA9">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Investigate and specify the necessary signalling of necessary measurement enhancements (if any)</w:t>
            </w:r>
          </w:p>
          <w:p w14:paraId="1A8B4DEA">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Enabling method(s) to ensure consistency between training and inference regarding NW-side additional conditions (if identified) for inference at UE for relevant positioning sub use cases</w:t>
            </w:r>
          </w:p>
          <w:p w14:paraId="607688E2">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RAN1 will not discuss any proposals targeting 2</w:t>
            </w:r>
            <w:r>
              <w:rPr>
                <w:rFonts w:hint="default" w:ascii="Times New Roman" w:hAnsi="Times New Roman" w:cs="Times New Roman"/>
                <w:bCs/>
                <w:sz w:val="20"/>
                <w:szCs w:val="20"/>
                <w:vertAlign w:val="superscript"/>
              </w:rPr>
              <w:t>nd</w:t>
            </w:r>
            <w:r>
              <w:rPr>
                <w:rFonts w:hint="default" w:ascii="Times New Roman" w:hAnsi="Times New Roman" w:cs="Times New Roman"/>
                <w:bCs/>
                <w:sz w:val="20"/>
                <w:szCs w:val="20"/>
              </w:rPr>
              <w:t xml:space="preserve"> priority issues in Q4 of 2024.</w:t>
            </w:r>
          </w:p>
          <w:p w14:paraId="06277C74">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1B320D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9EF4F2C">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tc>
      </w:tr>
    </w:tbl>
    <w:p w14:paraId="6262D19C">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RRM </w:t>
      </w:r>
      <w:r>
        <w:rPr>
          <w:rFonts w:hint="eastAsia" w:ascii="Times New Roman" w:hAnsi="Times New Roman"/>
          <w:sz w:val="20"/>
          <w:szCs w:val="20"/>
          <w:lang w:val="en-US" w:eastAsia="zh-CN"/>
        </w:rPr>
        <w:t xml:space="preserve">core </w:t>
      </w:r>
      <w:r>
        <w:rPr>
          <w:rFonts w:hint="eastAsia" w:ascii="Times New Roman" w:hAnsi="Times New Roman"/>
          <w:sz w:val="20"/>
          <w:szCs w:val="20"/>
        </w:rPr>
        <w:t>requirements for positioning</w:t>
      </w:r>
      <w:r>
        <w:rPr>
          <w:rFonts w:hint="eastAsia" w:ascii="Times New Roman" w:hAnsi="Times New Roman"/>
          <w:sz w:val="20"/>
          <w:szCs w:val="20"/>
          <w:lang w:val="en-US" w:eastAsia="zh-CN"/>
        </w:rPr>
        <w:t xml:space="preserve"> accuracy enhancement</w:t>
      </w:r>
      <w:r>
        <w:rPr>
          <w:rFonts w:hint="eastAsia" w:ascii="Times New Roman" w:hAnsi="Times New Roman"/>
          <w:sz w:val="20"/>
          <w:szCs w:val="20"/>
        </w:rPr>
        <w:t>.</w:t>
      </w:r>
    </w:p>
    <w:p w14:paraId="2C9595C5">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96B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noWrap w:val="0"/>
            <w:vAlign w:val="top"/>
          </w:tcPr>
          <w:p w14:paraId="623DFB25">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2-1-1: Define a requirement on absolute position for case 1</w:t>
            </w:r>
          </w:p>
          <w:p w14:paraId="623DFB26">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6F43918E">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RAN4 will not define positioning accuracy requirements for case 1(direct UE positioning)</w:t>
            </w:r>
          </w:p>
          <w:p w14:paraId="7F7E9C7B">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RAN4 to further study how to define the requirements, companies are invited to bring concrete proposals on a requirements framework and next steps on how to define</w:t>
            </w:r>
          </w:p>
          <w:p w14:paraId="19F32609">
            <w:pPr>
              <w:pStyle w:val="15"/>
              <w:numPr>
                <w:ilvl w:val="1"/>
                <w:numId w:val="5"/>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sz w:val="20"/>
                <w:szCs w:val="20"/>
                <w:lang w:eastAsia="zh-CN"/>
              </w:rPr>
              <w:t>Option 3: others</w:t>
            </w:r>
          </w:p>
        </w:tc>
      </w:tr>
    </w:tbl>
    <w:p w14:paraId="59994B40">
      <w:pPr>
        <w:spacing w:after="180" w:line="240" w:lineRule="exact"/>
        <w:rPr>
          <w:rFonts w:hint="eastAsia" w:ascii="Times New Roman" w:hAnsi="Times New Roman" w:eastAsia="等线" w:cs="Times New Roman"/>
          <w:bCs/>
          <w:iCs/>
          <w:sz w:val="20"/>
          <w:szCs w:val="20"/>
          <w:lang w:val="en-US" w:eastAsia="zh-CN"/>
        </w:rPr>
      </w:pPr>
    </w:p>
    <w:p w14:paraId="41EC11D3">
      <w:pPr>
        <w:spacing w:after="180" w:line="240" w:lineRule="exact"/>
        <w:rPr>
          <w:rFonts w:hint="eastAsia" w:ascii="Times New Roman" w:hAnsi="Times New Roman"/>
          <w:bCs/>
          <w:iCs/>
          <w:sz w:val="20"/>
          <w:szCs w:val="20"/>
          <w:lang w:val="en-US" w:eastAsia="zh-CN"/>
        </w:rPr>
      </w:pPr>
      <w:r>
        <w:rPr>
          <w:rFonts w:hint="eastAsia" w:ascii="Times New Roman" w:hAnsi="Times New Roman"/>
          <w:bCs/>
          <w:iCs/>
          <w:sz w:val="20"/>
          <w:szCs w:val="20"/>
          <w:lang w:val="en-US" w:eastAsia="zh-CN"/>
        </w:rPr>
        <w:t xml:space="preserve">For case 1, we support to define requirements. Case 1 is </w:t>
      </w:r>
      <w:r>
        <w:rPr>
          <w:rFonts w:hint="eastAsia" w:ascii="Times New Roman" w:hAnsi="Times New Roman" w:eastAsia="等线"/>
          <w:bCs/>
          <w:iCs/>
          <w:sz w:val="20"/>
          <w:szCs w:val="20"/>
          <w:lang w:val="en-US" w:eastAsia="zh-CN"/>
        </w:rPr>
        <w:t>d</w:t>
      </w:r>
      <w:r>
        <w:rPr>
          <w:rFonts w:ascii="Times New Roman" w:hAnsi="Times New Roman"/>
          <w:bCs/>
          <w:iCs/>
          <w:sz w:val="20"/>
          <w:szCs w:val="20"/>
        </w:rPr>
        <w:t>irect AI/ML positioning</w:t>
      </w:r>
      <w:r>
        <w:rPr>
          <w:rFonts w:hint="eastAsia" w:ascii="Times New Roman" w:hAnsi="Times New Roman"/>
          <w:bCs/>
          <w:iCs/>
          <w:sz w:val="20"/>
          <w:szCs w:val="20"/>
          <w:lang w:val="en-US" w:eastAsia="zh-CN"/>
        </w:rPr>
        <w:t xml:space="preserve">. Different from assisted positioning, the output of AI/ML model is UE position, which is new for RAN4. This use case is representative and need to be verified. </w:t>
      </w:r>
    </w:p>
    <w:p w14:paraId="7E45362B">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discussion in previous meetings, proponents of option 1 have concern to define requirements for the reason that UE may not report positioning. Whether UE can report position is pending on progress in other WGs. </w:t>
      </w:r>
    </w:p>
    <w:p w14:paraId="6B538AD8">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From signalling point of view, it is already supported for UE to report position. As highlighted in blue as following duplicated RAN2 agreements, RAN2 agreed to reuse existing LPP procedures related to Location Information Transfer to provide the UE sided model inference results to network.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4C8E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26F3906">
            <w:pPr>
              <w:spacing w:after="180" w:line="240" w:lineRule="exact"/>
              <w:rPr>
                <w:rFonts w:hint="default" w:ascii="Times New Roman" w:hAnsi="Times New Roman" w:eastAsia="等线" w:cs="Times New Roman"/>
                <w:b/>
                <w:bCs w:val="0"/>
                <w:iCs/>
                <w:sz w:val="20"/>
                <w:szCs w:val="20"/>
                <w:highlight w:val="none"/>
                <w:vertAlign w:val="baseline"/>
                <w:lang w:val="en-US" w:eastAsia="zh-CN"/>
              </w:rPr>
            </w:pPr>
            <w:r>
              <w:rPr>
                <w:rFonts w:hint="default" w:ascii="Times New Roman" w:hAnsi="Times New Roman" w:eastAsia="等线" w:cs="Times New Roman"/>
                <w:b/>
                <w:bCs w:val="0"/>
                <w:iCs/>
                <w:sz w:val="20"/>
                <w:szCs w:val="20"/>
                <w:highlight w:val="none"/>
                <w:vertAlign w:val="baseline"/>
                <w:lang w:val="en-US" w:eastAsia="zh-CN"/>
              </w:rPr>
              <w:t>Agreements in RAN2#12</w:t>
            </w:r>
            <w:r>
              <w:rPr>
                <w:rFonts w:hint="eastAsia" w:ascii="Times New Roman" w:hAnsi="Times New Roman" w:eastAsia="等线" w:cs="Times New Roman"/>
                <w:b/>
                <w:bCs w:val="0"/>
                <w:iCs/>
                <w:sz w:val="20"/>
                <w:szCs w:val="20"/>
                <w:highlight w:val="none"/>
                <w:vertAlign w:val="baseline"/>
                <w:lang w:val="en-US" w:eastAsia="zh-CN"/>
              </w:rPr>
              <w:t>9</w:t>
            </w:r>
            <w:r>
              <w:rPr>
                <w:rFonts w:hint="default" w:ascii="Times New Roman" w:hAnsi="Times New Roman" w:eastAsia="等线" w:cs="Times New Roman"/>
                <w:b/>
                <w:bCs w:val="0"/>
                <w:iCs/>
                <w:sz w:val="20"/>
                <w:szCs w:val="20"/>
                <w:highlight w:val="none"/>
                <w:vertAlign w:val="baseline"/>
                <w:lang w:val="en-US" w:eastAsia="zh-CN"/>
              </w:rPr>
              <w:t xml:space="preserve"> meeting</w:t>
            </w:r>
          </w:p>
          <w:p w14:paraId="1253EC4D">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eastAsia" w:ascii="Times New Roman" w:hAnsi="Times New Roman" w:eastAsia="等线" w:cs="Times New Roman"/>
                <w:bCs/>
                <w:iCs/>
                <w:sz w:val="20"/>
                <w:szCs w:val="20"/>
                <w:highlight w:val="none"/>
                <w:vertAlign w:val="baseline"/>
                <w:lang w:val="en-US" w:eastAsia="zh-CN"/>
              </w:rPr>
              <w:t>1</w:t>
            </w:r>
            <w:r>
              <w:rPr>
                <w:rFonts w:hint="default" w:ascii="Times New Roman" w:hAnsi="Times New Roman" w:eastAsia="等线" w:cs="Times New Roman"/>
                <w:bCs/>
                <w:iCs/>
                <w:sz w:val="20"/>
                <w:szCs w:val="20"/>
                <w:highlight w:val="none"/>
                <w:vertAlign w:val="baseline"/>
                <w:lang w:val="en-US" w:eastAsia="zh-CN"/>
              </w:rPr>
              <w:t>:</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none"/>
                <w:vertAlign w:val="baseline"/>
                <w:lang w:val="en-US" w:eastAsia="zh-CN"/>
              </w:rPr>
              <w:t>Introduce AI/ML positioning Case 1 as a new positioning method.</w:t>
            </w:r>
          </w:p>
          <w:p w14:paraId="527DC380">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2:</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cyan"/>
                <w:vertAlign w:val="baseline"/>
                <w:lang w:val="en-US" w:eastAsia="zh-CN"/>
              </w:rPr>
              <w:t>Existing LPP procedures related to Location Information Transfer (RequestLocationInformation/ ProvideLocationInformation messages) are used for providing and requesting the results of the UE sided model inference operation</w:t>
            </w:r>
            <w:r>
              <w:rPr>
                <w:rFonts w:hint="default" w:ascii="Times New Roman" w:hAnsi="Times New Roman" w:eastAsia="等线" w:cs="Times New Roman"/>
                <w:bCs/>
                <w:iCs/>
                <w:sz w:val="20"/>
                <w:szCs w:val="20"/>
                <w:highlight w:val="none"/>
                <w:vertAlign w:val="baseline"/>
                <w:lang w:val="en-US" w:eastAsia="zh-CN"/>
              </w:rPr>
              <w:t>. The detail stage 3 message extention can be disucssed while drafting the stage 3 CR.</w:t>
            </w:r>
          </w:p>
          <w:p w14:paraId="29099D05">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3:</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none"/>
                <w:vertAlign w:val="baseline"/>
                <w:lang w:val="en-US" w:eastAsia="zh-CN"/>
              </w:rPr>
              <w:t>FFS UE autonomous switching between AI/ML and non-AI/ML methods is not allowed.  FFS if this is unconditional or linked to condition of multiple positioning method are not configured in RequestLocationInformation,</w:t>
            </w:r>
          </w:p>
          <w:p w14:paraId="13972CD2">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 xml:space="preserve">4: </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none"/>
                <w:vertAlign w:val="baseline"/>
                <w:lang w:val="en-US" w:eastAsia="zh-CN"/>
              </w:rPr>
              <w:t>The content of error cause is discussed while drafting stage3 CRs.</w:t>
            </w:r>
          </w:p>
          <w:p w14:paraId="30230565">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 xml:space="preserve">5: </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none"/>
                <w:vertAlign w:val="baseline"/>
                <w:lang w:val="en-US" w:eastAsia="zh-CN"/>
              </w:rPr>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69A8FF7E">
            <w:pPr>
              <w:spacing w:after="180" w:line="240" w:lineRule="exact"/>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等线" w:cs="Times New Roman"/>
                <w:bCs/>
                <w:iCs/>
                <w:sz w:val="20"/>
                <w:szCs w:val="20"/>
                <w:highlight w:val="none"/>
                <w:vertAlign w:val="baseline"/>
                <w:lang w:val="en-US" w:eastAsia="zh-CN"/>
              </w:rPr>
              <w:t xml:space="preserve">6: </w:t>
            </w:r>
            <w:r>
              <w:rPr>
                <w:rFonts w:hint="default" w:ascii="Times New Roman" w:hAnsi="Times New Roman" w:eastAsia="等线" w:cs="Times New Roman"/>
                <w:bCs/>
                <w:iCs/>
                <w:sz w:val="20"/>
                <w:szCs w:val="20"/>
                <w:highlight w:val="none"/>
                <w:vertAlign w:val="baseline"/>
                <w:lang w:val="en-US" w:eastAsia="zh-CN"/>
              </w:rPr>
              <w:tab/>
            </w:r>
            <w:r>
              <w:rPr>
                <w:rFonts w:hint="default" w:ascii="Times New Roman" w:hAnsi="Times New Roman" w:eastAsia="等线" w:cs="Times New Roman"/>
                <w:bCs/>
                <w:iCs/>
                <w:sz w:val="20"/>
                <w:szCs w:val="20"/>
                <w:highlight w:val="none"/>
                <w:vertAlign w:val="baseline"/>
                <w:lang w:val="en-US" w:eastAsia="zh-CN"/>
              </w:rPr>
              <w:t>UE reports the applicable functionality to the LMF by the LPP provide capabilities message if there is a change of applicable functionality.   FFS if any additional LMF control is needed.</w:t>
            </w:r>
          </w:p>
        </w:tc>
      </w:tr>
    </w:tbl>
    <w:p w14:paraId="4AAC6BEB">
      <w:pPr>
        <w:spacing w:after="180" w:line="240" w:lineRule="exact"/>
        <w:rPr>
          <w:rFonts w:hint="eastAsia" w:ascii="Times New Roman" w:hAnsi="Times New Roman" w:eastAsia="等线" w:cs="Times New Roman"/>
          <w:bCs/>
          <w:iCs/>
          <w:sz w:val="20"/>
          <w:szCs w:val="20"/>
          <w:lang w:val="en-US" w:eastAsia="zh-CN"/>
        </w:rPr>
      </w:pPr>
    </w:p>
    <w:p w14:paraId="0D10F72B">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Following is the duplication of RAN1 agreements. It can be seen that one of the options (option B-1) is that inference results of the target UE is sent by the target UE to LMF.  Even though this is for model performance monitoring, but at least it can be seen that the inference results can be reported to LMF if option B-1 is adopted. Taking above into consideration, it is proposed to define </w:t>
      </w:r>
      <w:r>
        <w:rPr>
          <w:rFonts w:hint="default" w:ascii="Times New Roman" w:hAnsi="Times New Roman" w:eastAsia="宋体" w:cs="Times New Roman"/>
          <w:color w:val="auto"/>
          <w:sz w:val="20"/>
          <w:szCs w:val="20"/>
          <w:lang w:eastAsia="zh-CN"/>
        </w:rPr>
        <w:t>requirements for case 1</w:t>
      </w:r>
      <w:r>
        <w:rPr>
          <w:rFonts w:hint="default" w:ascii="Times New Roman" w:hAnsi="Times New Roman" w:eastAsia="Yu Mincho" w:cs="Times New Roman"/>
          <w:color w:val="auto"/>
          <w:sz w:val="20"/>
          <w:szCs w:val="20"/>
          <w:lang w:eastAsia="ja-JP"/>
        </w:rPr>
        <w:t xml:space="preserve"> </w:t>
      </w:r>
      <w:r>
        <w:rPr>
          <w:rFonts w:hint="eastAsia" w:ascii="Times New Roman" w:hAnsi="Times New Roman" w:eastAsia="等线" w:cs="Times New Roman"/>
          <w:bCs/>
          <w:iCs/>
          <w:sz w:val="20"/>
          <w:szCs w:val="20"/>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FCB3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2C8F637">
            <w:pPr>
              <w:ind w:left="0" w:firstLine="0"/>
              <w:rPr>
                <w:rFonts w:hint="default" w:ascii="Times New Roman" w:hAnsi="Times New Roman" w:eastAsia="等线" w:cs="Times New Roman"/>
                <w:b/>
                <w:bCs/>
                <w:sz w:val="20"/>
                <w:szCs w:val="20"/>
                <w:highlight w:val="none"/>
                <w:lang w:val="en-US" w:eastAsia="zh-CN"/>
              </w:rPr>
            </w:pPr>
            <w:r>
              <w:rPr>
                <w:rFonts w:hint="default" w:ascii="Times New Roman" w:hAnsi="Times New Roman" w:eastAsia="等线" w:cs="Times New Roman"/>
                <w:b/>
                <w:bCs/>
                <w:sz w:val="20"/>
                <w:szCs w:val="20"/>
                <w:highlight w:val="none"/>
                <w:lang w:val="en-US" w:eastAsia="zh-CN"/>
              </w:rPr>
              <w:t>Agreement</w:t>
            </w:r>
            <w:r>
              <w:rPr>
                <w:rFonts w:hint="default" w:ascii="Times New Roman" w:hAnsi="Times New Roman" w:eastAsia="等线" w:cs="Times New Roman"/>
                <w:sz w:val="20"/>
                <w:szCs w:val="20"/>
                <w:highlight w:val="none"/>
                <w:lang w:val="en-US" w:eastAsia="zh-CN"/>
              </w:rPr>
              <w:t xml:space="preserve"> </w:t>
            </w:r>
            <w:r>
              <w:rPr>
                <w:rFonts w:hint="default" w:ascii="Times New Roman" w:hAnsi="Times New Roman" w:eastAsia="等线" w:cs="Times New Roman"/>
                <w:b/>
                <w:bCs/>
                <w:sz w:val="20"/>
                <w:szCs w:val="20"/>
                <w:highlight w:val="none"/>
                <w:lang w:val="en-US" w:eastAsia="zh-CN"/>
              </w:rPr>
              <w:t>in RAN1 #116bis</w:t>
            </w:r>
          </w:p>
          <w:p w14:paraId="2030F57F">
            <w:pPr>
              <w:ind w:left="0" w:firstLine="0"/>
              <w:rPr>
                <w:rFonts w:hint="default" w:ascii="Times New Roman" w:hAnsi="Times New Roman" w:eastAsia="等线" w:cs="Times New Roman"/>
                <w:b/>
                <w:bCs/>
                <w:sz w:val="20"/>
                <w:szCs w:val="20"/>
                <w:highlight w:val="green"/>
                <w:lang w:val="en-US" w:eastAsia="zh-CN"/>
              </w:rPr>
            </w:pPr>
          </w:p>
          <w:p w14:paraId="408E3D93">
            <w:pPr>
              <w:ind w:left="0" w:firstLine="0"/>
              <w:rPr>
                <w:rFonts w:hint="default" w:ascii="Times New Roman" w:hAnsi="Times New Roman" w:cs="Times New Roman"/>
                <w:strike/>
                <w:sz w:val="20"/>
                <w:szCs w:val="20"/>
              </w:rPr>
            </w:pPr>
            <w:r>
              <w:rPr>
                <w:rFonts w:hint="default"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w:t>
            </w:r>
            <w:r>
              <w:rPr>
                <w:rFonts w:hint="default" w:ascii="Times New Roman" w:hAnsi="Times New Roman" w:eastAsia="等线" w:cs="Times New Roman"/>
                <w:sz w:val="20"/>
                <w:szCs w:val="20"/>
                <w:lang w:eastAsia="zh-CN"/>
              </w:rPr>
              <w:t xml:space="preserve">potential </w:t>
            </w:r>
            <w:r>
              <w:rPr>
                <w:rFonts w:hint="default" w:ascii="Times New Roman" w:hAnsi="Times New Roman" w:cs="Times New Roman"/>
                <w:sz w:val="20"/>
                <w:szCs w:val="20"/>
              </w:rPr>
              <w:t xml:space="preserve">specification impact of the following options with regard to how to generate information on ground truth label: </w:t>
            </w:r>
          </w:p>
          <w:p w14:paraId="45D6E4AA">
            <w:pPr>
              <w:widowControl w:val="0"/>
              <w:numPr>
                <w:ilvl w:val="0"/>
                <w:numId w:val="6"/>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 The target UE side performs monitoring metric calculation. </w:t>
            </w:r>
          </w:p>
          <w:p w14:paraId="26BC4E1B">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A-1. At least information on ground truth label of the target UE is generated by LMF and provided to the target UE. </w:t>
            </w:r>
          </w:p>
          <w:p w14:paraId="6A944CD4">
            <w:pPr>
              <w:widowControl w:val="0"/>
              <w:numPr>
                <w:ilvl w:val="2"/>
                <w:numId w:val="7"/>
              </w:numPr>
              <w:ind w:left="2360" w:hanging="56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one example, target UE and/or gNB sends measurement (e.g., legacy measurement) to LMF so that LMF can derive the information on ground truth label.</w:t>
            </w:r>
          </w:p>
          <w:p w14:paraId="42FEBC98">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A-2. At least position calculation assistance data (e.g., existing information for UE-based positioning method) is provided from LMF to the target UE.</w:t>
            </w:r>
          </w:p>
          <w:p w14:paraId="602C9E61">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A-3. Reuse Rel-18 assistance data transfer framework from LMF to the target UE, where the PRU measurement (e.g., legacy measurement) and the corresponding PRU location are sent via LMF to the target UE. </w:t>
            </w:r>
          </w:p>
          <w:p w14:paraId="54822F42">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Option A-4. PRU measurement (and the corresponding PRU location if not already known at the UE-side) are sent from PRU to the target UE side. </w:t>
            </w:r>
          </w:p>
          <w:p w14:paraId="20EDC36E">
            <w:pPr>
              <w:widowControl w:val="0"/>
              <w:numPr>
                <w:ilvl w:val="2"/>
                <w:numId w:val="7"/>
              </w:numPr>
              <w:ind w:left="2360" w:hanging="56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Option A-4 can be realized by implementation in a manner transparent to specification if the PRU sends information to the target UE side in a proprietary method.</w:t>
            </w:r>
          </w:p>
          <w:p w14:paraId="7250EF1D">
            <w:pPr>
              <w:widowControl w:val="0"/>
              <w:numPr>
                <w:ilvl w:val="0"/>
                <w:numId w:val="7"/>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B. The LMF performs monitoring metric calculation.</w:t>
            </w:r>
          </w:p>
          <w:p w14:paraId="36A2095A">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 xml:space="preserve">Option B-1. </w:t>
            </w:r>
            <w:r>
              <w:rPr>
                <w:rFonts w:hint="default" w:ascii="Times New Roman" w:hAnsi="Times New Roman" w:cs="Times New Roman"/>
                <w:sz w:val="20"/>
                <w:szCs w:val="20"/>
                <w:lang w:val="en-US" w:eastAsia="zh-CN"/>
              </w:rPr>
              <w:t xml:space="preserve">at least </w:t>
            </w:r>
            <w:r>
              <w:rPr>
                <w:rFonts w:hint="default" w:ascii="Times New Roman" w:hAnsi="Times New Roman" w:eastAsia="宋体" w:cs="Times New Roman"/>
                <w:sz w:val="20"/>
                <w:szCs w:val="20"/>
                <w:lang w:val="en-US" w:eastAsia="zh-CN"/>
              </w:rPr>
              <w:t>inference result</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(i.e., the model output corresponding to target UE’s channel measurement) </w:t>
            </w:r>
            <w:r>
              <w:rPr>
                <w:rFonts w:hint="default" w:ascii="Times New Roman" w:hAnsi="Times New Roman" w:cs="Times New Roman"/>
                <w:sz w:val="20"/>
                <w:szCs w:val="20"/>
                <w:lang w:val="en-US" w:eastAsia="zh-CN"/>
              </w:rPr>
              <w:t>of the target UE</w:t>
            </w:r>
            <w:r>
              <w:rPr>
                <w:rFonts w:hint="default" w:ascii="Times New Roman" w:hAnsi="Times New Roman" w:eastAsia="宋体" w:cs="Times New Roman"/>
                <w:sz w:val="20"/>
                <w:szCs w:val="20"/>
                <w:lang w:val="en-US" w:eastAsia="zh-CN"/>
              </w:rPr>
              <w:t xml:space="preserve"> is sent by the target UE to </w:t>
            </w:r>
            <w:r>
              <w:rPr>
                <w:rFonts w:hint="default" w:ascii="Times New Roman" w:hAnsi="Times New Roman" w:cs="Times New Roman"/>
                <w:sz w:val="20"/>
                <w:szCs w:val="20"/>
                <w:lang w:val="en-US" w:eastAsia="zh-CN"/>
              </w:rPr>
              <w:t xml:space="preserve">LMF. </w:t>
            </w:r>
          </w:p>
          <w:p w14:paraId="7C17E1EA">
            <w:pPr>
              <w:widowControl w:val="0"/>
              <w:numPr>
                <w:ilvl w:val="1"/>
                <w:numId w:val="7"/>
              </w:numPr>
              <w:jc w:val="both"/>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 xml:space="preserve">Option B-2. </w:t>
            </w:r>
            <w:r>
              <w:rPr>
                <w:rFonts w:hint="default" w:ascii="Times New Roman" w:hAnsi="Times New Roman" w:cs="Times New Roman"/>
                <w:sz w:val="20"/>
                <w:szCs w:val="20"/>
                <w:lang w:val="en-US" w:eastAsia="zh-CN"/>
              </w:rPr>
              <w:t>PRU</w:t>
            </w:r>
            <w:r>
              <w:rPr>
                <w:rFonts w:hint="default" w:ascii="Times New Roman" w:hAnsi="Times New Roman" w:eastAsia="宋体" w:cs="Times New Roman"/>
                <w:sz w:val="20"/>
                <w:szCs w:val="20"/>
                <w:lang w:val="en-US" w:eastAsia="zh-CN"/>
              </w:rPr>
              <w:t>’s</w:t>
            </w:r>
            <w:r>
              <w:rPr>
                <w:rFonts w:hint="default"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lang w:val="en-US" w:eastAsia="zh-CN"/>
              </w:rPr>
              <w:t xml:space="preserve">channel </w:t>
            </w:r>
            <w:r>
              <w:rPr>
                <w:rFonts w:hint="default" w:ascii="Times New Roman" w:hAnsi="Times New Roman" w:cs="Times New Roman"/>
                <w:sz w:val="20"/>
                <w:szCs w:val="20"/>
                <w:lang w:val="en-US" w:eastAsia="zh-CN"/>
              </w:rPr>
              <w:t>measurement is sent via LMF to the target UE</w:t>
            </w:r>
            <w:r>
              <w:rPr>
                <w:rFonts w:hint="default" w:ascii="Times New Roman" w:hAnsi="Times New Roman" w:eastAsia="宋体" w:cs="Times New Roman"/>
                <w:sz w:val="20"/>
                <w:szCs w:val="20"/>
                <w:lang w:val="en-US" w:eastAsia="zh-CN"/>
              </w:rPr>
              <w:t xml:space="preserve">, and the inference result (i.e., the model output corresponding to PRU’s channel measurement) is sent by the target UE to </w:t>
            </w:r>
            <w:r>
              <w:rPr>
                <w:rFonts w:hint="default" w:ascii="Times New Roman" w:hAnsi="Times New Roman" w:cs="Times New Roman"/>
                <w:sz w:val="20"/>
                <w:szCs w:val="20"/>
                <w:lang w:val="en-US" w:eastAsia="zh-CN"/>
              </w:rPr>
              <w:t>LMF.</w:t>
            </w:r>
          </w:p>
          <w:p w14:paraId="2275A9BC">
            <w:pPr>
              <w:ind w:left="0" w:firstLine="0"/>
              <w:rPr>
                <w:rFonts w:hint="default" w:ascii="Times New Roman" w:hAnsi="Times New Roman" w:eastAsia="等线" w:cs="Times New Roman"/>
                <w:sz w:val="20"/>
                <w:szCs w:val="20"/>
                <w:lang w:eastAsia="zh-CN"/>
              </w:rPr>
            </w:pPr>
            <w:r>
              <w:rPr>
                <w:rFonts w:hint="default" w:ascii="Times New Roman" w:hAnsi="Times New Roman" w:cs="Times New Roman"/>
                <w:sz w:val="20"/>
                <w:szCs w:val="20"/>
              </w:rPr>
              <w:t xml:space="preserve">Note: exact method to perform the monitoring metric calculation is up to implementation. </w:t>
            </w:r>
          </w:p>
          <w:p w14:paraId="1C61DB53">
            <w:pPr>
              <w:ind w:left="0" w:firstLine="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Note: Other options are not precluded.</w:t>
            </w:r>
          </w:p>
          <w:p w14:paraId="70DA1071">
            <w:pPr>
              <w:spacing w:after="180" w:line="240" w:lineRule="exact"/>
              <w:rPr>
                <w:rFonts w:hint="default" w:ascii="Times New Roman" w:hAnsi="Times New Roman" w:eastAsia="等线" w:cs="Times New Roman"/>
                <w:bCs/>
                <w:iCs/>
                <w:sz w:val="20"/>
                <w:szCs w:val="20"/>
                <w:vertAlign w:val="baseline"/>
                <w:lang w:val="en-US" w:eastAsia="zh-CN"/>
              </w:rPr>
            </w:pPr>
          </w:p>
          <w:p w14:paraId="6CC1D332">
            <w:pPr>
              <w:rPr>
                <w:rFonts w:hint="default" w:ascii="Times New Roman" w:hAnsi="Times New Roman" w:eastAsia="等线" w:cs="Times New Roman"/>
                <w:b/>
                <w:bCs/>
                <w:sz w:val="20"/>
                <w:szCs w:val="20"/>
                <w:highlight w:val="none"/>
                <w:lang w:val="en-US" w:eastAsia="zh-CN"/>
              </w:rPr>
            </w:pPr>
            <w:r>
              <w:rPr>
                <w:rFonts w:hint="default" w:ascii="Times New Roman" w:hAnsi="Times New Roman" w:eastAsia="等线" w:cs="Times New Roman"/>
                <w:b/>
                <w:bCs/>
                <w:sz w:val="20"/>
                <w:szCs w:val="20"/>
                <w:highlight w:val="none"/>
                <w:lang w:eastAsia="zh-CN"/>
              </w:rPr>
              <w:t>Conclusion</w:t>
            </w:r>
            <w:r>
              <w:rPr>
                <w:rFonts w:hint="default" w:ascii="Times New Roman" w:hAnsi="Times New Roman" w:eastAsia="等线" w:cs="Times New Roman"/>
                <w:b/>
                <w:bCs/>
                <w:sz w:val="20"/>
                <w:szCs w:val="20"/>
                <w:highlight w:val="none"/>
                <w:lang w:val="en-US" w:eastAsia="zh-CN"/>
              </w:rPr>
              <w:t xml:space="preserve"> in RAN1 #118</w:t>
            </w:r>
          </w:p>
          <w:p w14:paraId="7A51AB83">
            <w:pPr>
              <w:rPr>
                <w:rFonts w:hint="default" w:ascii="Times New Roman" w:hAnsi="Times New Roman" w:cs="Times New Roman"/>
                <w:sz w:val="20"/>
                <w:szCs w:val="20"/>
              </w:rPr>
            </w:pPr>
            <w:r>
              <w:rPr>
                <w:rFonts w:hint="default" w:ascii="Times New Roman" w:hAnsi="Times New Roman" w:cs="Times New Roman"/>
                <w:sz w:val="20"/>
                <w:szCs w:val="20"/>
              </w:rPr>
              <w:t>For model performance monitoring of AI/ML positioning Case 1, for model performance monitoring metric calculation in label-based model monitoring,</w:t>
            </w:r>
          </w:p>
          <w:p w14:paraId="6F50236B">
            <w:pPr>
              <w:pStyle w:val="15"/>
              <w:numPr>
                <w:ilvl w:val="0"/>
                <w:numId w:val="8"/>
              </w:numPr>
              <w:suppressAutoHyphens/>
              <w:spacing w:after="160" w:line="276" w:lineRule="auto"/>
              <w:ind w:left="84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Calibri" w:cs="Times New Roman"/>
                <w:sz w:val="20"/>
                <w:szCs w:val="20"/>
                <w:lang w:val="de-DE"/>
              </w:rPr>
              <w:t>Option A-4 can be realized by implementation in a manner transparent to specification</w:t>
            </w:r>
            <w:r>
              <w:rPr>
                <w:rFonts w:hint="default" w:ascii="Times New Roman" w:hAnsi="Times New Roman" w:cs="Times New Roman"/>
                <w:sz w:val="20"/>
                <w:szCs w:val="20"/>
                <w:lang w:val="en-US"/>
              </w:rPr>
              <w:t xml:space="preserve"> </w:t>
            </w:r>
            <w:r>
              <w:rPr>
                <w:rFonts w:hint="default" w:ascii="Times New Roman" w:hAnsi="Times New Roman" w:eastAsia="Calibri" w:cs="Times New Roman"/>
                <w:sz w:val="20"/>
                <w:szCs w:val="20"/>
                <w:lang w:val="de-DE"/>
              </w:rPr>
              <w:t>specification if the PRU sends information to the target UE side in a proprietary method. No further discussion on</w:t>
            </w:r>
            <w:r>
              <w:rPr>
                <w:rFonts w:hint="default" w:ascii="Times New Roman" w:hAnsi="Times New Roman" w:cs="Times New Roman"/>
                <w:sz w:val="20"/>
                <w:szCs w:val="20"/>
                <w:lang w:val="en-US"/>
              </w:rPr>
              <w:t xml:space="preserve"> Option A-4.</w:t>
            </w:r>
          </w:p>
        </w:tc>
      </w:tr>
    </w:tbl>
    <w:p w14:paraId="1B8D1261">
      <w:pPr>
        <w:spacing w:after="180" w:line="240" w:lineRule="exact"/>
        <w:rPr>
          <w:rFonts w:hint="default" w:ascii="Times New Roman" w:hAnsi="Times New Roman" w:eastAsia="等线" w:cs="Times New Roman"/>
          <w:bCs/>
          <w:iCs/>
          <w:sz w:val="20"/>
          <w:szCs w:val="20"/>
          <w:lang w:val="en-US" w:eastAsia="zh-CN"/>
        </w:rPr>
      </w:pPr>
    </w:p>
    <w:p w14:paraId="3E5F5414">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bCs/>
          <w:iCs/>
          <w:sz w:val="20"/>
          <w:szCs w:val="20"/>
          <w:lang w:val="en-US" w:eastAsia="zh-CN"/>
        </w:rPr>
        <w:t>As for the details of reuirements for case 1. At least positioning accuracy can be condiered, which is the difference between ground truth (real position) and reported position. In detail, our initial consideration is that the positioning accuracy could be the difference in meters/sub-meters between reported position and ground truth labels in each dimension of x-axis and y-axis. But we are also open for other options. As for the ground truth labels, according to RAN1 discussion, LMF can derive the ground truth label, e.g. target UE and/or gNB sends measurement (e.g., legacy measurement) to LMF so that LMF can derive the information on ground truth label, or PRU can be considered. In the test, the ground truth could be settled by TE.</w:t>
      </w:r>
    </w:p>
    <w:p w14:paraId="42AC2C0D">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u w:val="none"/>
          <w:lang w:val="en-US" w:eastAsia="zh-CN"/>
        </w:rPr>
        <w:t xml:space="preserve">Proposal 1: for case 1, it is proposed to define </w:t>
      </w:r>
      <w:r>
        <w:rPr>
          <w:rFonts w:hint="eastAsia" w:ascii="Times New Roman" w:hAnsi="Times New Roman"/>
          <w:b/>
          <w:bCs w:val="0"/>
          <w:i/>
          <w:iCs w:val="0"/>
          <w:sz w:val="20"/>
          <w:szCs w:val="20"/>
          <w:u w:val="none"/>
          <w:lang w:val="en-US" w:eastAsia="zh-CN"/>
        </w:rPr>
        <w:t>positioning accuracy requirement, which is the difference between ground truth (real position) and reported position.</w:t>
      </w:r>
      <w:r>
        <w:rPr>
          <w:rFonts w:hint="eastAsia" w:ascii="Times New Roman" w:hAnsi="Times New Roman" w:eastAsia="等线" w:cs="Times New Roman"/>
          <w:b/>
          <w:bCs w:val="0"/>
          <w:i/>
          <w:iCs w:val="0"/>
          <w:sz w:val="20"/>
          <w:szCs w:val="20"/>
          <w:u w:val="none"/>
          <w:lang w:val="en-US" w:eastAsia="zh-CN"/>
        </w:rPr>
        <w:t xml:space="preserve"> </w:t>
      </w:r>
    </w:p>
    <w:p w14:paraId="0EED6C66">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beam management, it was agreed in RAN4 #113 meeting that prediction delay includes measurement for prediction, inference delay, and FFS for other components. Similarly, prediction delay need to be defined for case 1 when LMF request the results of the UE sided model inference operation. The prediction delay at least include PRS measurement for prediction, inference delay. As for the report delay, whether and how to consider it can be further discussed.</w:t>
      </w:r>
    </w:p>
    <w:p w14:paraId="1636D3FD">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LCM, RAN2 agreed that for UE-sided model, for the functionality management, the “network decision, network-initiated” AI/ML management is supported as a baseline. It means that there is interaction between network and UE, e.g. activation, deactivation, etc. It is necessary to define delay requirements.</w:t>
      </w:r>
    </w:p>
    <w:p w14:paraId="0CC14DF8">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w:t>
      </w:r>
      <w:r>
        <w:rPr>
          <w:rFonts w:hint="eastAsia" w:ascii="Times New Roman" w:hAnsi="Times New Roman" w:eastAsia="等线" w:cs="Times New Roman"/>
          <w:b/>
          <w:bCs w:val="0"/>
          <w:i/>
          <w:iCs w:val="0"/>
          <w:sz w:val="20"/>
          <w:szCs w:val="20"/>
          <w:u w:val="none"/>
          <w:lang w:val="en-US" w:eastAsia="zh-CN"/>
        </w:rPr>
        <w:t xml:space="preserve">for case 1, it is proposed to define delay related requirements, e.g. </w:t>
      </w:r>
      <w:r>
        <w:rPr>
          <w:rFonts w:hint="eastAsia" w:ascii="Times New Roman" w:hAnsi="Times New Roman" w:eastAsia="等线" w:cs="Times New Roman"/>
          <w:b/>
          <w:bCs w:val="0"/>
          <w:i/>
          <w:iCs w:val="0"/>
          <w:sz w:val="20"/>
          <w:szCs w:val="20"/>
          <w:lang w:val="en-US" w:eastAsia="zh-CN"/>
        </w:rPr>
        <w:t>prediction delay, LCM related delay.</w:t>
      </w:r>
    </w:p>
    <w:p w14:paraId="7C2F6C04">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previous discussion, some company provide analysis and believe that it is not </w:t>
      </w:r>
      <w:r>
        <w:rPr>
          <w:rFonts w:hint="default" w:ascii="Times New Roman" w:hAnsi="Times New Roman" w:eastAsia="等线" w:cs="Times New Roman"/>
          <w:bCs/>
          <w:iCs/>
          <w:sz w:val="20"/>
          <w:szCs w:val="20"/>
          <w:lang w:val="en-US" w:eastAsia="zh-CN"/>
        </w:rPr>
        <w:t>feasib</w:t>
      </w:r>
      <w:r>
        <w:rPr>
          <w:rFonts w:hint="eastAsia" w:ascii="Times New Roman" w:hAnsi="Times New Roman" w:eastAsia="等线" w:cs="Times New Roman"/>
          <w:bCs/>
          <w:iCs/>
          <w:sz w:val="20"/>
          <w:szCs w:val="20"/>
          <w:lang w:val="en-US" w:eastAsia="zh-CN"/>
        </w:rPr>
        <w:t>le to define</w:t>
      </w:r>
      <w:r>
        <w:rPr>
          <w:rFonts w:hint="default" w:ascii="Times New Roman" w:hAnsi="Times New Roman" w:eastAsia="等线" w:cs="Times New Roman"/>
          <w:bCs/>
          <w:iCs/>
          <w:sz w:val="20"/>
          <w:szCs w:val="20"/>
          <w:lang w:val="en-US" w:eastAsia="zh-CN"/>
        </w:rPr>
        <w:t xml:space="preserve"> a general </w:t>
      </w:r>
      <w:r>
        <w:rPr>
          <w:rFonts w:hint="eastAsia" w:ascii="Times New Roman" w:hAnsi="Times New Roman" w:eastAsia="等线" w:cs="Times New Roman"/>
          <w:bCs/>
          <w:iCs/>
          <w:sz w:val="20"/>
          <w:szCs w:val="20"/>
          <w:lang w:val="en-US" w:eastAsia="zh-CN"/>
        </w:rPr>
        <w:t xml:space="preserve">positioning accuracy </w:t>
      </w:r>
      <w:r>
        <w:rPr>
          <w:rFonts w:hint="default" w:ascii="Times New Roman" w:hAnsi="Times New Roman" w:eastAsia="等线" w:cs="Times New Roman"/>
          <w:bCs/>
          <w:iCs/>
          <w:sz w:val="20"/>
          <w:szCs w:val="20"/>
          <w:lang w:val="en-US" w:eastAsia="zh-CN"/>
        </w:rPr>
        <w:t>requirement</w:t>
      </w:r>
      <w:r>
        <w:rPr>
          <w:rFonts w:hint="eastAsia" w:ascii="Times New Roman" w:hAnsi="Times New Roman" w:eastAsia="等线" w:cs="Times New Roman"/>
          <w:bCs/>
          <w:iCs/>
          <w:sz w:val="20"/>
          <w:szCs w:val="20"/>
          <w:lang w:val="en-US" w:eastAsia="zh-CN"/>
        </w:rPr>
        <w:t>s</w:t>
      </w:r>
      <w:r>
        <w:rPr>
          <w:rFonts w:hint="default" w:ascii="Times New Roman" w:hAnsi="Times New Roman" w:eastAsia="等线" w:cs="Times New Roman"/>
          <w:bCs/>
          <w:iCs/>
          <w:sz w:val="20"/>
          <w:szCs w:val="20"/>
          <w:lang w:val="en-US" w:eastAsia="zh-CN"/>
        </w:rPr>
        <w:t xml:space="preserve"> </w:t>
      </w:r>
      <w:r>
        <w:rPr>
          <w:rFonts w:hint="eastAsia" w:ascii="Times New Roman" w:hAnsi="Times New Roman" w:eastAsia="等线" w:cs="Times New Roman"/>
          <w:bCs/>
          <w:iCs/>
          <w:sz w:val="20"/>
          <w:szCs w:val="20"/>
          <w:lang w:val="en-US" w:eastAsia="zh-CN"/>
        </w:rPr>
        <w:t xml:space="preserve">which can be applied to </w:t>
      </w:r>
      <w:r>
        <w:rPr>
          <w:rFonts w:hint="default" w:ascii="Times New Roman" w:hAnsi="Times New Roman" w:eastAsia="等线" w:cs="Times New Roman"/>
          <w:bCs/>
          <w:iCs/>
          <w:sz w:val="20"/>
          <w:szCs w:val="20"/>
          <w:lang w:val="en-US" w:eastAsia="zh-CN"/>
        </w:rPr>
        <w:t>different scenarios</w:t>
      </w:r>
      <w:r>
        <w:rPr>
          <w:rFonts w:hint="eastAsia" w:ascii="Times New Roman" w:hAnsi="Times New Roman" w:eastAsia="等线" w:cs="Times New Roman"/>
          <w:bCs/>
          <w:iCs/>
          <w:sz w:val="20"/>
          <w:szCs w:val="20"/>
          <w:lang w:val="en-US" w:eastAsia="zh-CN"/>
        </w:rPr>
        <w:t xml:space="preserve"> [7]</w:t>
      </w:r>
      <w:r>
        <w:rPr>
          <w:rFonts w:hint="default" w:ascii="Times New Roman" w:hAnsi="Times New Roman" w:eastAsia="等线" w:cs="Times New Roman"/>
          <w:bCs/>
          <w:iCs/>
          <w:sz w:val="20"/>
          <w:szCs w:val="20"/>
          <w:lang w:val="en-US" w:eastAsia="zh-CN"/>
        </w:rPr>
        <w:t>.</w:t>
      </w:r>
      <w:r>
        <w:rPr>
          <w:rFonts w:hint="eastAsia" w:ascii="Times New Roman" w:hAnsi="Times New Roman" w:eastAsia="等线" w:cs="Times New Roman"/>
          <w:bCs/>
          <w:iCs/>
          <w:sz w:val="20"/>
          <w:szCs w:val="20"/>
          <w:lang w:val="en-US" w:eastAsia="zh-CN"/>
        </w:rPr>
        <w:t xml:space="preserve"> In our view , more discussion is needed. Firstly, the simulation in [7] is based on DL-TDoA based method, which means the positioning performance based AI/ML model is not evaluated. We are not sure whether it is a good way to make  conclusion for AI/ML based positioning based on the simulation resluts of DL-TDoA. Secondly, it is mentioned in [7] that another reaon that not feasible to define requirements is that the generalization capability of direct AI/ML positioning is not very good. However, generalization is not a typical issue for positioning, it is a high level issue that all the use cases based on AI/ML need to face. For AI/ML based beam management, it is also observed that the model trained in one scenrio does not work well in another scenario. However, nobody object to define requirements for beam management due to generalization issue.  </w:t>
      </w:r>
    </w:p>
    <w:p w14:paraId="3F8C8637">
      <w:pPr>
        <w:spacing w:after="180" w:line="240" w:lineRule="exact"/>
        <w:rPr>
          <w:rFonts w:hint="eastAsia" w:ascii="Times New Roman" w:hAnsi="Times New Roman" w:eastAsia="等线" w:cs="Times New Roman"/>
          <w:bCs/>
          <w:iCs/>
          <w:sz w:val="20"/>
          <w:szCs w:val="20"/>
          <w:lang w:val="en-US" w:eastAsia="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52A9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23DFB97">
            <w:pPr>
              <w:rPr>
                <w:rFonts w:hint="default" w:ascii="Times New Roman" w:hAnsi="Times New Roman" w:cs="Times New Roman"/>
                <w:b/>
                <w:sz w:val="20"/>
                <w:szCs w:val="20"/>
                <w:u w:val="single"/>
                <w:lang w:eastAsia="ko-KR"/>
              </w:rPr>
            </w:pPr>
            <w:r>
              <w:rPr>
                <w:rFonts w:hint="eastAsia" w:ascii="Times New Roman" w:hAnsi="Times New Roman" w:cs="Times New Roman"/>
                <w:b/>
                <w:sz w:val="20"/>
                <w:szCs w:val="20"/>
                <w:u w:val="single"/>
                <w:lang w:val="en-US" w:eastAsia="zh-CN"/>
              </w:rPr>
              <w:t>R</w:t>
            </w:r>
            <w:r>
              <w:rPr>
                <w:rFonts w:hint="default" w:ascii="Times New Roman" w:hAnsi="Times New Roman" w:cs="Times New Roman"/>
                <w:b/>
                <w:sz w:val="20"/>
                <w:szCs w:val="20"/>
                <w:u w:val="single"/>
                <w:lang w:eastAsia="ko-KR"/>
              </w:rPr>
              <w:t>equirements for case 3a/3b</w:t>
            </w:r>
          </w:p>
          <w:p w14:paraId="242F0400">
            <w:pPr>
              <w:rPr>
                <w:rFonts w:hint="default" w:ascii="Times New Roman" w:hAnsi="Times New Roman" w:cs="Times New Roman"/>
                <w:bCs/>
                <w:sz w:val="20"/>
                <w:szCs w:val="20"/>
                <w:lang w:eastAsia="ko-KR"/>
              </w:rPr>
            </w:pPr>
          </w:p>
          <w:p w14:paraId="623DFB98">
            <w:pPr>
              <w:rPr>
                <w:rFonts w:hint="default" w:ascii="Times New Roman" w:hAnsi="Times New Roman" w:eastAsia="宋体" w:cs="Times New Roman"/>
                <w:b/>
                <w:bCs w:val="0"/>
                <w:sz w:val="20"/>
                <w:szCs w:val="20"/>
                <w:lang w:val="en-US" w:eastAsia="zh-CN"/>
              </w:rPr>
            </w:pPr>
            <w:r>
              <w:rPr>
                <w:rFonts w:hint="default" w:ascii="Times New Roman" w:hAnsi="Times New Roman" w:cs="Times New Roman"/>
                <w:b/>
                <w:bCs w:val="0"/>
                <w:sz w:val="20"/>
                <w:szCs w:val="20"/>
                <w:lang w:eastAsia="ko-KR"/>
              </w:rPr>
              <w:t xml:space="preserve">Agreement </w:t>
            </w:r>
            <w:r>
              <w:rPr>
                <w:rFonts w:hint="eastAsia" w:ascii="Times New Roman" w:hAnsi="Times New Roman" w:cs="Times New Roman"/>
                <w:b/>
                <w:bCs w:val="0"/>
                <w:sz w:val="20"/>
                <w:szCs w:val="20"/>
                <w:lang w:val="en-US" w:eastAsia="zh-CN"/>
              </w:rPr>
              <w:t>in RAN4 #112bis (R4-2417212)</w:t>
            </w:r>
          </w:p>
          <w:p w14:paraId="087D1325">
            <w:pPr>
              <w:spacing w:after="120"/>
              <w:rPr>
                <w:rFonts w:hint="default" w:ascii="Times New Roman" w:hAnsi="Times New Roman" w:cs="Times New Roman"/>
                <w:bCs/>
                <w:color w:val="0070C0"/>
                <w:sz w:val="20"/>
                <w:szCs w:val="20"/>
                <w:lang w:eastAsia="ko-KR"/>
              </w:rPr>
            </w:pPr>
            <w:r>
              <w:rPr>
                <w:rFonts w:hint="default" w:ascii="Times New Roman" w:hAnsi="Times New Roman" w:cs="Times New Roman"/>
                <w:sz w:val="20"/>
                <w:szCs w:val="20"/>
                <w:lang w:eastAsia="zh-CN"/>
              </w:rPr>
              <w:t>Extend applicability of existing report mappings for UL-RToA and UL SRS-RSRPP to report UL measurements for AI/ML based positioning use cases</w:t>
            </w:r>
            <w:r>
              <w:rPr>
                <w:rFonts w:hint="default" w:ascii="Times New Roman" w:hAnsi="Times New Roman" w:cs="Times New Roman"/>
                <w:sz w:val="20"/>
                <w:szCs w:val="20"/>
                <w:lang w:val="en-US" w:eastAsia="zh-CN"/>
              </w:rPr>
              <w:t xml:space="preserve"> 3a/3b</w:t>
            </w:r>
            <w:r>
              <w:rPr>
                <w:rFonts w:hint="default" w:ascii="Times New Roman" w:hAnsi="Times New Roman" w:cs="Times New Roman"/>
                <w:sz w:val="20"/>
                <w:szCs w:val="20"/>
                <w:lang w:eastAsia="zh-CN"/>
              </w:rPr>
              <w:t>.</w:t>
            </w:r>
          </w:p>
          <w:p w14:paraId="6C58C711">
            <w:pPr>
              <w:rPr>
                <w:rFonts w:hint="default" w:ascii="Times New Roman" w:hAnsi="Times New Roman" w:cs="Times New Roman"/>
                <w:sz w:val="20"/>
                <w:szCs w:val="20"/>
                <w:lang w:val="en-US" w:eastAsia="ko-KR"/>
              </w:rPr>
            </w:pPr>
            <w:r>
              <w:rPr>
                <w:rFonts w:hint="default" w:ascii="Times New Roman" w:hAnsi="Times New Roman" w:cs="Times New Roman"/>
                <w:b/>
                <w:bCs w:val="0"/>
                <w:sz w:val="20"/>
                <w:szCs w:val="20"/>
                <w:lang w:eastAsia="ko-KR"/>
              </w:rPr>
              <w:t xml:space="preserve">Agreement </w:t>
            </w:r>
            <w:r>
              <w:rPr>
                <w:rFonts w:hint="eastAsia" w:ascii="Times New Roman" w:hAnsi="Times New Roman" w:cs="Times New Roman"/>
                <w:b/>
                <w:bCs w:val="0"/>
                <w:sz w:val="20"/>
                <w:szCs w:val="20"/>
                <w:lang w:val="en-US" w:eastAsia="zh-CN"/>
              </w:rPr>
              <w:t>in RAN4 #114 (R4-2502856)</w:t>
            </w:r>
          </w:p>
          <w:p w14:paraId="0D4EAC7C">
            <w:pPr>
              <w:spacing w:after="120"/>
              <w:rPr>
                <w:rFonts w:hint="default" w:ascii="Times New Roman" w:hAnsi="Times New Roman" w:eastAsia="等线" w:cs="Times New Roman"/>
                <w:bCs/>
                <w:iCs/>
                <w:color w:val="auto"/>
                <w:sz w:val="20"/>
                <w:szCs w:val="20"/>
                <w:vertAlign w:val="baseline"/>
                <w:lang w:val="en-US" w:eastAsia="zh-CN"/>
              </w:rPr>
            </w:pPr>
            <w:r>
              <w:rPr>
                <w:rFonts w:hint="eastAsia" w:ascii="Times New Roman" w:hAnsi="Times New Roman" w:cs="Times New Roman"/>
                <w:sz w:val="20"/>
                <w:szCs w:val="20"/>
                <w:lang w:eastAsia="ja-JP"/>
              </w:rPr>
              <w:t>Reuse the report mapping for UL SRS-RS</w:t>
            </w:r>
            <w:r>
              <w:rPr>
                <w:rFonts w:hint="default" w:ascii="Times New Roman" w:hAnsi="Times New Roman" w:cs="Times New Roman"/>
                <w:sz w:val="20"/>
                <w:szCs w:val="20"/>
                <w:lang w:eastAsia="ja-JP"/>
              </w:rPr>
              <w:t>R</w:t>
            </w:r>
            <w:r>
              <w:rPr>
                <w:rFonts w:hint="eastAsia" w:ascii="Times New Roman" w:hAnsi="Times New Roman" w:cs="Times New Roman"/>
                <w:sz w:val="20"/>
                <w:szCs w:val="20"/>
                <w:lang w:eastAsia="ja-JP"/>
              </w:rPr>
              <w:t>P to Case 3a</w:t>
            </w:r>
          </w:p>
        </w:tc>
      </w:tr>
    </w:tbl>
    <w:p w14:paraId="76A327CB">
      <w:pPr>
        <w:spacing w:after="180" w:line="240" w:lineRule="exact"/>
        <w:rPr>
          <w:rFonts w:hint="eastAsia" w:ascii="Times New Roman" w:hAnsi="Times New Roman" w:eastAsia="等线"/>
          <w:bCs/>
          <w:iCs/>
          <w:sz w:val="20"/>
          <w:szCs w:val="20"/>
          <w:lang w:val="en-US" w:eastAsia="zh-CN"/>
        </w:rPr>
      </w:pPr>
    </w:p>
    <w:p w14:paraId="1064F2E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RAN4#110 meeting, it was agreed that RAN4 will not define positioning accuracy requirements for case 3a/3b. Our interpretention about this agreement is that positioning accuracy here means eventual KPI, e.g. Ground truth vs. Reported positioinging, are not be specified for case 3a/3b, but it does not mean that intermediate KPIs (i.e. requirements for reported metrics) are not specified. Also, RAN1 has agreements on reporting for case 3a/3b. </w:t>
      </w:r>
    </w:p>
    <w:p w14:paraId="7BF8014F">
      <w:pPr>
        <w:pStyle w:val="18"/>
      </w:pPr>
      <w:r>
        <w:t>-</w:t>
      </w:r>
      <w:r>
        <w:tab/>
      </w:r>
      <w:r>
        <w:t>Case 3a: NG-RAN node assisted positioning with gNB-side model, AI/ML assisted positioning</w:t>
      </w:r>
    </w:p>
    <w:p w14:paraId="2FF75042">
      <w:pPr>
        <w:pStyle w:val="18"/>
      </w:pPr>
      <w:r>
        <w:t>-</w:t>
      </w:r>
      <w:r>
        <w:tab/>
      </w:r>
      <w:r>
        <w:t>Case 3b: NG-RAN node assisted positioning with LMF-side model, direct AI/ML positioning</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71E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A467CF0">
            <w:pPr>
              <w:ind w:left="0" w:firstLine="0"/>
              <w:rPr>
                <w:rFonts w:hint="default" w:ascii="Times New Roman" w:hAnsi="Times New Roman" w:eastAsia="等线" w:cs="Times New Roman"/>
                <w:b/>
                <w:bCs/>
                <w:sz w:val="20"/>
                <w:szCs w:val="20"/>
                <w:highlight w:val="green"/>
                <w:lang w:val="en-US" w:eastAsia="zh-CN"/>
              </w:rPr>
            </w:pPr>
            <w:r>
              <w:rPr>
                <w:rFonts w:hint="default" w:ascii="Times New Roman" w:hAnsi="Times New Roman" w:eastAsia="等线" w:cs="Times New Roman"/>
                <w:b/>
                <w:bCs/>
                <w:sz w:val="20"/>
                <w:szCs w:val="20"/>
                <w:highlight w:val="green"/>
                <w:lang w:eastAsia="zh-CN"/>
              </w:rPr>
              <w:t>Agreement</w:t>
            </w:r>
            <w:r>
              <w:rPr>
                <w:rFonts w:hint="default" w:ascii="Times New Roman" w:hAnsi="Times New Roman" w:eastAsia="等线" w:cs="Times New Roman"/>
                <w:b/>
                <w:bCs/>
                <w:sz w:val="20"/>
                <w:szCs w:val="20"/>
                <w:highlight w:val="green"/>
                <w:lang w:val="en-US" w:eastAsia="zh-CN"/>
              </w:rPr>
              <w:t xml:space="preserve"> in RAN1 #116</w:t>
            </w:r>
          </w:p>
          <w:p w14:paraId="77FBE27E">
            <w:pPr>
              <w:ind w:left="0" w:firstLine="0"/>
              <w:rPr>
                <w:rFonts w:hint="default" w:ascii="Times New Roman" w:hAnsi="Times New Roman" w:eastAsia="等线" w:cs="Times New Roman"/>
                <w:b/>
                <w:bCs/>
                <w:sz w:val="20"/>
                <w:szCs w:val="20"/>
                <w:highlight w:val="green"/>
                <w:lang w:val="en-US" w:eastAsia="zh-CN"/>
              </w:rPr>
            </w:pPr>
          </w:p>
          <w:p w14:paraId="279F58CE">
            <w:pPr>
              <w:ind w:left="0" w:firstLine="0"/>
              <w:rPr>
                <w:rFonts w:hint="default" w:ascii="Times New Roman" w:hAnsi="Times New Roman" w:cs="Times New Roman"/>
                <w:sz w:val="20"/>
                <w:szCs w:val="20"/>
              </w:rPr>
            </w:pPr>
            <w:r>
              <w:rPr>
                <w:rFonts w:hint="default" w:ascii="Times New Roman" w:hAnsi="Times New Roman" w:cs="Times New Roman"/>
                <w:sz w:val="20"/>
                <w:szCs w:val="20"/>
              </w:rPr>
              <w:t xml:space="preserve">For AI/ML assisted positioning Case 3a, at least LOS/NLOS indicator and/or timing information are supported for reporting. </w:t>
            </w:r>
          </w:p>
          <w:p w14:paraId="5CB99EF0">
            <w:pPr>
              <w:widowControl w:val="0"/>
              <w:numPr>
                <w:ilvl w:val="0"/>
                <w:numId w:val="9"/>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LOS/NLOS indicator is reported, the indicator can be reported as soft indicator or hard indicator as defined in 38.214.</w:t>
            </w:r>
          </w:p>
          <w:p w14:paraId="3A6099CD">
            <w:pPr>
              <w:widowControl w:val="0"/>
              <w:numPr>
                <w:ilvl w:val="0"/>
                <w:numId w:val="9"/>
              </w:num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If timing information is reported, </w:t>
            </w:r>
            <w:r>
              <w:rPr>
                <w:rFonts w:hint="default" w:ascii="Times New Roman" w:hAnsi="Times New Roman" w:cs="Times New Roman"/>
                <w:b/>
                <w:bCs/>
                <w:sz w:val="20"/>
                <w:szCs w:val="20"/>
                <w:lang w:val="en-US" w:eastAsia="zh-CN"/>
              </w:rPr>
              <w:t>the timing information at least can be reported via UL RTOA or gNB Rx-Tx time difference</w:t>
            </w:r>
            <w:r>
              <w:rPr>
                <w:rFonts w:hint="default" w:ascii="Times New Roman" w:hAnsi="Times New Roman" w:cs="Times New Roman"/>
                <w:sz w:val="20"/>
                <w:szCs w:val="20"/>
                <w:lang w:val="en-US" w:eastAsia="zh-CN"/>
              </w:rPr>
              <w:t xml:space="preserve"> as defined in 38.215.</w:t>
            </w:r>
          </w:p>
          <w:p w14:paraId="26D6FD38">
            <w:pPr>
              <w:widowControl w:val="0"/>
              <w:numPr>
                <w:ilvl w:val="0"/>
                <w:numId w:val="9"/>
              </w:numPr>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val="en-US" w:eastAsia="zh-CN"/>
              </w:rPr>
              <w:t>Note: details of the report are pending further discussion.</w:t>
            </w:r>
          </w:p>
          <w:p w14:paraId="36B9A458">
            <w:pPr>
              <w:widowControl w:val="0"/>
              <w:numPr>
                <w:ilvl w:val="0"/>
                <w:numId w:val="0"/>
              </w:numPr>
              <w:jc w:val="both"/>
              <w:rPr>
                <w:rFonts w:hint="default" w:ascii="Times New Roman" w:hAnsi="Times New Roman" w:eastAsia="等线" w:cs="Times New Roman"/>
                <w:bCs/>
                <w:iCs/>
                <w:sz w:val="20"/>
                <w:szCs w:val="20"/>
                <w:vertAlign w:val="baseline"/>
                <w:lang w:val="en-US" w:eastAsia="zh-CN"/>
              </w:rPr>
            </w:pPr>
          </w:p>
          <w:p w14:paraId="4FF25F3C">
            <w:pPr>
              <w:numPr>
                <w:ilvl w:val="0"/>
                <w:numId w:val="0"/>
              </w:numPr>
              <w:ind w:leftChars="0"/>
              <w:rPr>
                <w:rFonts w:hint="default" w:ascii="Times New Roman" w:hAnsi="Times New Roman" w:cs="Times New Roman"/>
                <w:sz w:val="20"/>
                <w:szCs w:val="20"/>
              </w:rPr>
            </w:pPr>
            <w:r>
              <w:rPr>
                <w:rFonts w:hint="default" w:ascii="Times New Roman" w:hAnsi="Times New Roman" w:cs="Times New Roman"/>
                <w:sz w:val="20"/>
                <w:szCs w:val="20"/>
              </w:rPr>
              <w:t xml:space="preserve">For AI/ML based positioning case 3b, at least the following types of time domain channel measurements are supported for reporting: </w:t>
            </w:r>
          </w:p>
          <w:p w14:paraId="539B6224">
            <w:pPr>
              <w:widowControl w:val="0"/>
              <w:numPr>
                <w:ilvl w:val="0"/>
                <w:numId w:val="10"/>
              </w:numPr>
              <w:ind w:left="851" w:hanging="425"/>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timing information;</w:t>
            </w:r>
          </w:p>
          <w:p w14:paraId="68C754D2">
            <w:pPr>
              <w:widowControl w:val="0"/>
              <w:numPr>
                <w:ilvl w:val="0"/>
                <w:numId w:val="10"/>
              </w:numPr>
              <w:ind w:left="851" w:hanging="425"/>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paired timing information and power information.</w:t>
            </w:r>
          </w:p>
          <w:p w14:paraId="7A8E5783">
            <w:pPr>
              <w:widowControl w:val="0"/>
              <w:numPr>
                <w:ilvl w:val="0"/>
                <w:numId w:val="0"/>
              </w:numPr>
              <w:jc w:val="both"/>
              <w:rPr>
                <w:rFonts w:hint="default" w:ascii="Times New Roman" w:hAnsi="Times New Roman" w:eastAsia="等线" w:cs="Times New Roman"/>
                <w:bCs/>
                <w:iCs/>
                <w:sz w:val="20"/>
                <w:szCs w:val="20"/>
                <w:vertAlign w:val="baseline"/>
                <w:lang w:val="en-US" w:eastAsia="zh-CN"/>
              </w:rPr>
            </w:pPr>
          </w:p>
        </w:tc>
      </w:tr>
    </w:tbl>
    <w:p w14:paraId="1C4E8BAC">
      <w:pPr>
        <w:spacing w:after="180" w:line="240" w:lineRule="exact"/>
        <w:rPr>
          <w:rFonts w:hint="eastAsia" w:ascii="Times New Roman" w:hAnsi="Times New Roman" w:eastAsia="等线"/>
          <w:bCs/>
          <w:iCs/>
          <w:sz w:val="20"/>
          <w:szCs w:val="20"/>
          <w:lang w:val="en-US" w:eastAsia="zh-CN"/>
        </w:rPr>
      </w:pPr>
    </w:p>
    <w:p w14:paraId="0F99CE0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RAN1 agreements, for </w:t>
      </w:r>
      <w:r>
        <w:rPr>
          <w:rFonts w:hint="default" w:ascii="Times New Roman" w:hAnsi="Times New Roman" w:cs="Times New Roman"/>
          <w:sz w:val="20"/>
          <w:szCs w:val="20"/>
        </w:rPr>
        <w:t>AI/ML assisted positioning</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case 3a, it is supported to report UL RTOA, gNB Rx-Tx time difference.</w:t>
      </w:r>
    </w:p>
    <w:p w14:paraId="1F289BB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for </w:t>
      </w:r>
      <w:r>
        <w:rPr>
          <w:rFonts w:hint="default" w:ascii="Times New Roman" w:hAnsi="Times New Roman" w:cs="Times New Roman"/>
          <w:b/>
          <w:bCs w:val="0"/>
          <w:i/>
          <w:iCs w:val="0"/>
          <w:sz w:val="20"/>
          <w:szCs w:val="20"/>
        </w:rPr>
        <w:t>AI/ML assisted positioning</w:t>
      </w:r>
      <w:r>
        <w:rPr>
          <w:rFonts w:hint="eastAsia" w:ascii="Times New Roman" w:hAnsi="Times New Roman" w:cs="Times New Roman"/>
          <w:b/>
          <w:bCs w:val="0"/>
          <w:i/>
          <w:iCs w:val="0"/>
          <w:sz w:val="20"/>
          <w:szCs w:val="20"/>
          <w:lang w:val="en-US" w:eastAsia="zh-CN"/>
        </w:rPr>
        <w:t xml:space="preserve"> </w:t>
      </w:r>
      <w:r>
        <w:rPr>
          <w:rFonts w:hint="eastAsia" w:ascii="Times New Roman" w:hAnsi="Times New Roman" w:eastAsia="等线"/>
          <w:b/>
          <w:bCs w:val="0"/>
          <w:i/>
          <w:iCs w:val="0"/>
          <w:sz w:val="20"/>
          <w:szCs w:val="20"/>
          <w:lang w:val="en-US" w:eastAsia="zh-CN"/>
        </w:rPr>
        <w:t xml:space="preserve">case 3a, RAN1 agreed that UL RTOA, gNB Rx-Tx time difference </w:t>
      </w:r>
      <w:r>
        <w:rPr>
          <w:rFonts w:hint="default" w:ascii="Times New Roman" w:hAnsi="Times New Roman" w:cs="Times New Roman"/>
          <w:b/>
          <w:bCs w:val="0"/>
          <w:i/>
          <w:iCs w:val="0"/>
          <w:sz w:val="20"/>
          <w:szCs w:val="20"/>
        </w:rPr>
        <w:t>are supported for reporting.</w:t>
      </w:r>
      <w:r>
        <w:rPr>
          <w:rFonts w:hint="eastAsia" w:ascii="Times New Roman" w:hAnsi="Times New Roman" w:eastAsia="等线"/>
          <w:b/>
          <w:bCs w:val="0"/>
          <w:i/>
          <w:iCs w:val="0"/>
          <w:sz w:val="20"/>
          <w:szCs w:val="20"/>
          <w:lang w:val="en-US" w:eastAsia="zh-CN"/>
        </w:rPr>
        <w:t xml:space="preserve"> </w:t>
      </w:r>
    </w:p>
    <w:p w14:paraId="73161DAC">
      <w:pPr>
        <w:spacing w:after="180" w:line="240" w:lineRule="exact"/>
        <w:rPr>
          <w:rFonts w:hint="eastAsia"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In Rel-18 SI discussion, f</w:t>
      </w:r>
      <w:r>
        <w:rPr>
          <w:rFonts w:hint="default" w:ascii="Times New Roman" w:hAnsi="Times New Roman" w:cs="Times New Roman"/>
          <w:sz w:val="20"/>
          <w:szCs w:val="20"/>
          <w:lang w:eastAsia="zh-CN"/>
        </w:rPr>
        <w:t>or the definition of AI/ML requirements</w:t>
      </w:r>
      <w:r>
        <w:rPr>
          <w:rFonts w:hint="eastAsia" w:ascii="Times New Roman" w:hAnsi="Times New Roman" w:cs="Times New Roman"/>
          <w:sz w:val="20"/>
          <w:szCs w:val="20"/>
          <w:lang w:val="en-US" w:eastAsia="zh-CN"/>
        </w:rPr>
        <w:t xml:space="preserve">, we have following consideration [5]. It can be seen that for the cases with </w:t>
      </w:r>
      <w:r>
        <w:rPr>
          <w:rFonts w:hint="default" w:ascii="Times New Roman" w:hAnsi="Times New Roman" w:cs="Times New Roman"/>
          <w:sz w:val="20"/>
          <w:szCs w:val="20"/>
          <w:lang w:eastAsia="zh-CN"/>
        </w:rPr>
        <w:t>the existing legacy performance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the legacy performance </w:t>
      </w:r>
      <w:r>
        <w:rPr>
          <w:rFonts w:hint="eastAsia" w:ascii="Times New Roman" w:hAnsi="Times New Roman" w:cs="Times New Roman"/>
          <w:sz w:val="20"/>
          <w:szCs w:val="20"/>
          <w:lang w:val="en-US" w:eastAsia="zh-CN"/>
        </w:rPr>
        <w:t xml:space="preserve">can be used </w:t>
      </w:r>
      <w:r>
        <w:rPr>
          <w:rFonts w:hint="default" w:ascii="Times New Roman" w:hAnsi="Times New Roman" w:cs="Times New Roman"/>
          <w:sz w:val="20"/>
          <w:szCs w:val="20"/>
          <w:lang w:eastAsia="zh-CN"/>
        </w:rPr>
        <w:t>as baseline</w:t>
      </w:r>
      <w:r>
        <w:rPr>
          <w:rFonts w:hint="eastAsia" w:ascii="Times New Roman" w:hAnsi="Times New Roman" w:cs="Times New Roman"/>
          <w:sz w:val="20"/>
          <w:szCs w:val="20"/>
          <w:lang w:val="en-US" w:eastAsia="zh-CN"/>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C68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61154548">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TR 38.843 </w:t>
            </w:r>
          </w:p>
          <w:p w14:paraId="18EAB401">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7.3.2.2</w:t>
            </w:r>
            <w:r>
              <w:rPr>
                <w:rFonts w:hint="default" w:ascii="Times New Roman" w:hAnsi="Times New Roman" w:cs="Times New Roman"/>
                <w:sz w:val="20"/>
                <w:szCs w:val="20"/>
              </w:rPr>
              <w:tab/>
            </w:r>
            <w:r>
              <w:rPr>
                <w:rFonts w:hint="default" w:ascii="Times New Roman" w:hAnsi="Times New Roman" w:cs="Times New Roman"/>
                <w:sz w:val="20"/>
                <w:szCs w:val="20"/>
              </w:rPr>
              <w:t>P</w:t>
            </w:r>
            <w:r>
              <w:rPr>
                <w:rFonts w:hint="default" w:ascii="Times New Roman" w:hAnsi="Times New Roman" w:cs="Times New Roman"/>
                <w:sz w:val="20"/>
                <w:szCs w:val="20"/>
                <w:lang w:eastAsia="zh-CN"/>
              </w:rPr>
              <w:t>rin</w:t>
            </w:r>
            <w:r>
              <w:rPr>
                <w:rFonts w:hint="default" w:ascii="Times New Roman" w:hAnsi="Times New Roman" w:cs="Times New Roman"/>
                <w:sz w:val="20"/>
                <w:szCs w:val="20"/>
              </w:rPr>
              <w:t>ciples on the definition of requirements</w:t>
            </w:r>
          </w:p>
          <w:p w14:paraId="0E1B04DD">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the definition of AI/ML requirements, the following cases related to legacy performance should be considered </w:t>
            </w:r>
          </w:p>
          <w:p w14:paraId="4FCE9B7D">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For the cases with the existing legacy performance </w:t>
            </w:r>
          </w:p>
          <w:p w14:paraId="51752E79">
            <w:pPr>
              <w:pStyle w:val="2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Take the legacy performance as baseline for existing use cases/procedures/functionalities /measurements that are to be enhanced by AI/ML based methods</w:t>
            </w:r>
          </w:p>
          <w:p w14:paraId="2D432573">
            <w:pPr>
              <w:pStyle w:val="25"/>
              <w:rPr>
                <w:rFonts w:hint="default" w:ascii="Times New Roman" w:hAnsi="Times New Roman" w:cs="Times New Roman"/>
                <w:sz w:val="20"/>
                <w:szCs w:val="20"/>
                <w:lang w:eastAsia="zh-CN"/>
              </w:rPr>
            </w:pPr>
            <w:bookmarkStart w:id="6" w:name="_Hlk149569778"/>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Further study may be needed on what is baseline performance in conditions different to the requirement condition but within the expected range of operation.</w:t>
            </w:r>
            <w:bookmarkEnd w:id="6"/>
          </w:p>
          <w:p w14:paraId="42E4C84A">
            <w:pPr>
              <w:pStyle w:val="2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New or enhanced performance requirements/tests could be considered for existing use cases/procedures/functionalities/measurements that are to be enhanced by AI/ML based methods</w:t>
            </w:r>
          </w:p>
          <w:p w14:paraId="7E326B29">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For the cases without the existing legacy performance</w:t>
            </w:r>
          </w:p>
          <w:p w14:paraId="07922061">
            <w:pPr>
              <w:pStyle w:val="24"/>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New performance requirements/tests could be considered for the use cases/procedures/functionalities/measurements that are carried out or are to be enhanced by AI/ML based methods</w:t>
            </w:r>
          </w:p>
        </w:tc>
      </w:tr>
    </w:tbl>
    <w:p w14:paraId="3DEFF31C">
      <w:pPr>
        <w:spacing w:after="180" w:line="240" w:lineRule="exact"/>
        <w:rPr>
          <w:rFonts w:hint="default" w:ascii="Times New Roman" w:hAnsi="Times New Roman" w:cs="Times New Roman"/>
          <w:sz w:val="20"/>
          <w:szCs w:val="20"/>
          <w:lang w:val="en-US" w:eastAsia="zh-CN"/>
        </w:rPr>
      </w:pPr>
    </w:p>
    <w:p w14:paraId="27FD147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legacy gNB Rx-Tx time difference, measurement accuracy requirements are defined, the existing requirements are duplicated as following. It is proposed that the leagcy gNB Rx-Tx time difference absolute accuracy is reused for case 3a.</w:t>
      </w:r>
    </w:p>
    <w:p w14:paraId="67379C24">
      <w:pPr>
        <w:pStyle w:val="19"/>
      </w:pPr>
      <w:r>
        <w:t>Table 13.2.2.2-1: gNB Rx-Tx time difference absolute accuracy in FR1 for gNB type 1-C, 1-H and 1-O</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1801"/>
        <w:gridCol w:w="2347"/>
      </w:tblGrid>
      <w:tr w14:paraId="5F46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0DD205A">
            <w:pPr>
              <w:pStyle w:val="20"/>
              <w:spacing w:after="180"/>
            </w:pPr>
            <w:r>
              <w:t>Accuracy</w:t>
            </w:r>
          </w:p>
        </w:tc>
        <w:tc>
          <w:tcPr>
            <w:tcW w:w="2074" w:type="dxa"/>
            <w:noWrap w:val="0"/>
            <w:vAlign w:val="top"/>
          </w:tcPr>
          <w:p w14:paraId="34E54B92">
            <w:pPr>
              <w:pStyle w:val="20"/>
              <w:spacing w:after="180"/>
            </w:pPr>
            <w:r>
              <w:t>SRS Ês/Iot</w:t>
            </w:r>
          </w:p>
        </w:tc>
        <w:tc>
          <w:tcPr>
            <w:tcW w:w="1801" w:type="dxa"/>
            <w:noWrap w:val="0"/>
            <w:vAlign w:val="top"/>
          </w:tcPr>
          <w:p w14:paraId="56266DC0">
            <w:pPr>
              <w:pStyle w:val="20"/>
              <w:spacing w:after="180"/>
            </w:pPr>
            <w:r>
              <w:t>SCS</w:t>
            </w:r>
          </w:p>
        </w:tc>
        <w:tc>
          <w:tcPr>
            <w:tcW w:w="2347" w:type="dxa"/>
            <w:noWrap w:val="0"/>
            <w:vAlign w:val="top"/>
          </w:tcPr>
          <w:p w14:paraId="01677AE6">
            <w:pPr>
              <w:pStyle w:val="20"/>
              <w:spacing w:after="180"/>
            </w:pPr>
            <w:r>
              <w:t>SRS bandwidth range</w:t>
            </w:r>
          </w:p>
        </w:tc>
      </w:tr>
      <w:tr w14:paraId="6A6C4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F212317">
            <w:pPr>
              <w:pStyle w:val="20"/>
              <w:spacing w:after="180"/>
              <w:rPr>
                <w:lang w:eastAsia="zh-CN"/>
              </w:rPr>
            </w:pPr>
            <w:r>
              <w:rPr>
                <w:lang w:eastAsia="zh-CN"/>
              </w:rPr>
              <w:t>Unit: Tc</w:t>
            </w:r>
          </w:p>
        </w:tc>
        <w:tc>
          <w:tcPr>
            <w:tcW w:w="2074" w:type="dxa"/>
            <w:noWrap w:val="0"/>
            <w:vAlign w:val="top"/>
          </w:tcPr>
          <w:p w14:paraId="39F89B7E">
            <w:pPr>
              <w:pStyle w:val="20"/>
              <w:spacing w:after="180"/>
              <w:rPr>
                <w:lang w:eastAsia="zh-CN"/>
              </w:rPr>
            </w:pPr>
            <w:r>
              <w:rPr>
                <w:lang w:eastAsia="zh-CN"/>
              </w:rPr>
              <w:t>Unit: dB</w:t>
            </w:r>
          </w:p>
        </w:tc>
        <w:tc>
          <w:tcPr>
            <w:tcW w:w="1801" w:type="dxa"/>
            <w:noWrap w:val="0"/>
            <w:vAlign w:val="top"/>
          </w:tcPr>
          <w:p w14:paraId="6DFD00EC">
            <w:pPr>
              <w:pStyle w:val="20"/>
              <w:spacing w:after="180"/>
              <w:rPr>
                <w:lang w:eastAsia="zh-CN"/>
              </w:rPr>
            </w:pPr>
            <w:r>
              <w:rPr>
                <w:lang w:eastAsia="zh-CN"/>
              </w:rPr>
              <w:t>Unit: kHz</w:t>
            </w:r>
          </w:p>
        </w:tc>
        <w:tc>
          <w:tcPr>
            <w:tcW w:w="2347" w:type="dxa"/>
            <w:noWrap w:val="0"/>
            <w:vAlign w:val="top"/>
          </w:tcPr>
          <w:p w14:paraId="59BAC353">
            <w:pPr>
              <w:pStyle w:val="20"/>
              <w:spacing w:after="180"/>
              <w:rPr>
                <w:lang w:eastAsia="zh-CN"/>
              </w:rPr>
            </w:pPr>
            <w:r>
              <w:rPr>
                <w:lang w:eastAsia="zh-CN"/>
              </w:rPr>
              <w:t>Unit: RB</w:t>
            </w:r>
          </w:p>
        </w:tc>
      </w:tr>
      <w:tr w14:paraId="40FD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22F1344E">
            <w:pPr>
              <w:pStyle w:val="21"/>
              <w:spacing w:after="180"/>
            </w:pPr>
            <w:r>
              <w:rPr>
                <w:rFonts w:cs="Arial"/>
                <w:szCs w:val="18"/>
                <w:lang w:eastAsia="zh-CN"/>
              </w:rPr>
              <w:t>123</w:t>
            </w:r>
          </w:p>
        </w:tc>
        <w:tc>
          <w:tcPr>
            <w:tcW w:w="2074" w:type="dxa"/>
            <w:vMerge w:val="restart"/>
            <w:noWrap w:val="0"/>
            <w:vAlign w:val="top"/>
          </w:tcPr>
          <w:p w14:paraId="4A661D9F">
            <w:pPr>
              <w:pStyle w:val="21"/>
              <w:spacing w:after="180"/>
            </w:pPr>
            <w:r>
              <w:t>≥ -13</w:t>
            </w:r>
          </w:p>
        </w:tc>
        <w:tc>
          <w:tcPr>
            <w:tcW w:w="1801" w:type="dxa"/>
            <w:vMerge w:val="restart"/>
            <w:noWrap w:val="0"/>
            <w:vAlign w:val="top"/>
          </w:tcPr>
          <w:p w14:paraId="1B25F74A">
            <w:pPr>
              <w:pStyle w:val="21"/>
              <w:spacing w:after="180"/>
              <w:rPr>
                <w:lang w:eastAsia="zh-CN"/>
              </w:rPr>
            </w:pPr>
            <w:r>
              <w:rPr>
                <w:rFonts w:hint="eastAsia"/>
                <w:lang w:eastAsia="zh-CN"/>
              </w:rPr>
              <w:t>1</w:t>
            </w:r>
            <w:r>
              <w:rPr>
                <w:lang w:eastAsia="zh-CN"/>
              </w:rPr>
              <w:t>5</w:t>
            </w:r>
          </w:p>
        </w:tc>
        <w:tc>
          <w:tcPr>
            <w:tcW w:w="2347" w:type="dxa"/>
            <w:noWrap w:val="0"/>
            <w:vAlign w:val="top"/>
          </w:tcPr>
          <w:p w14:paraId="3A3CD426">
            <w:pPr>
              <w:pStyle w:val="21"/>
              <w:spacing w:after="180"/>
              <w:rPr>
                <w:lang w:eastAsia="zh-CN"/>
              </w:rPr>
            </w:pPr>
            <w:r>
              <w:rPr>
                <w:lang w:eastAsia="zh-CN"/>
              </w:rPr>
              <w:t xml:space="preserve"> 44 ≤ BW ≤ 84</w:t>
            </w:r>
          </w:p>
        </w:tc>
      </w:tr>
      <w:tr w14:paraId="43CA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780E636">
            <w:pPr>
              <w:pStyle w:val="21"/>
              <w:spacing w:after="180"/>
              <w:rPr>
                <w:lang w:eastAsia="zh-CN"/>
              </w:rPr>
            </w:pPr>
            <w:r>
              <w:rPr>
                <w:rFonts w:cs="Arial"/>
                <w:szCs w:val="18"/>
                <w:lang w:eastAsia="zh-CN"/>
              </w:rPr>
              <w:t>48</w:t>
            </w:r>
          </w:p>
        </w:tc>
        <w:tc>
          <w:tcPr>
            <w:tcW w:w="2074" w:type="dxa"/>
            <w:vMerge w:val="continue"/>
            <w:noWrap w:val="0"/>
            <w:vAlign w:val="top"/>
          </w:tcPr>
          <w:p w14:paraId="77AF77CC">
            <w:pPr>
              <w:pStyle w:val="21"/>
              <w:spacing w:after="180"/>
            </w:pPr>
          </w:p>
        </w:tc>
        <w:tc>
          <w:tcPr>
            <w:tcW w:w="1801" w:type="dxa"/>
            <w:vMerge w:val="continue"/>
            <w:noWrap w:val="0"/>
            <w:vAlign w:val="top"/>
          </w:tcPr>
          <w:p w14:paraId="3548934F">
            <w:pPr>
              <w:pStyle w:val="21"/>
              <w:spacing w:after="180"/>
            </w:pPr>
          </w:p>
        </w:tc>
        <w:tc>
          <w:tcPr>
            <w:tcW w:w="2347" w:type="dxa"/>
            <w:noWrap w:val="0"/>
            <w:vAlign w:val="top"/>
          </w:tcPr>
          <w:p w14:paraId="4DF7665C">
            <w:pPr>
              <w:pStyle w:val="21"/>
              <w:spacing w:after="180"/>
              <w:rPr>
                <w:lang w:eastAsia="zh-CN"/>
              </w:rPr>
            </w:pPr>
            <w:r>
              <w:rPr>
                <w:lang w:eastAsia="zh-CN"/>
              </w:rPr>
              <w:t xml:space="preserve"> 88 ≤ BW ≤ 168</w:t>
            </w:r>
          </w:p>
        </w:tc>
      </w:tr>
      <w:tr w14:paraId="60ED1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CB60411">
            <w:pPr>
              <w:pStyle w:val="21"/>
              <w:spacing w:after="180"/>
            </w:pPr>
            <w:r>
              <w:rPr>
                <w:rFonts w:cs="Arial"/>
                <w:szCs w:val="18"/>
                <w:lang w:eastAsia="zh-CN"/>
              </w:rPr>
              <w:t>17</w:t>
            </w:r>
          </w:p>
        </w:tc>
        <w:tc>
          <w:tcPr>
            <w:tcW w:w="2074" w:type="dxa"/>
            <w:vMerge w:val="continue"/>
            <w:noWrap w:val="0"/>
            <w:vAlign w:val="top"/>
          </w:tcPr>
          <w:p w14:paraId="7A277A11">
            <w:pPr>
              <w:pStyle w:val="21"/>
              <w:spacing w:after="180"/>
            </w:pPr>
          </w:p>
        </w:tc>
        <w:tc>
          <w:tcPr>
            <w:tcW w:w="1801" w:type="dxa"/>
            <w:vMerge w:val="continue"/>
            <w:noWrap w:val="0"/>
            <w:vAlign w:val="top"/>
          </w:tcPr>
          <w:p w14:paraId="742B81DC">
            <w:pPr>
              <w:pStyle w:val="21"/>
              <w:spacing w:after="180"/>
            </w:pPr>
          </w:p>
        </w:tc>
        <w:tc>
          <w:tcPr>
            <w:tcW w:w="2347" w:type="dxa"/>
            <w:noWrap w:val="0"/>
            <w:vAlign w:val="top"/>
          </w:tcPr>
          <w:p w14:paraId="047B4324">
            <w:pPr>
              <w:pStyle w:val="21"/>
              <w:spacing w:after="180"/>
              <w:rPr>
                <w:lang w:eastAsia="zh-CN"/>
              </w:rPr>
            </w:pPr>
            <w:r>
              <w:rPr>
                <w:lang w:eastAsia="zh-CN"/>
              </w:rPr>
              <w:t>176 ≤ BW</w:t>
            </w:r>
          </w:p>
        </w:tc>
      </w:tr>
      <w:tr w14:paraId="525BC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A8CD2A6">
            <w:pPr>
              <w:pStyle w:val="21"/>
              <w:spacing w:after="180"/>
              <w:rPr>
                <w:lang w:eastAsia="zh-CN"/>
              </w:rPr>
            </w:pPr>
            <w:r>
              <w:rPr>
                <w:rFonts w:cs="Arial"/>
                <w:szCs w:val="18"/>
                <w:lang w:eastAsia="zh-CN"/>
              </w:rPr>
              <w:t>122</w:t>
            </w:r>
          </w:p>
        </w:tc>
        <w:tc>
          <w:tcPr>
            <w:tcW w:w="2074" w:type="dxa"/>
            <w:vMerge w:val="restart"/>
            <w:noWrap w:val="0"/>
            <w:vAlign w:val="top"/>
          </w:tcPr>
          <w:p w14:paraId="4F40CCDF">
            <w:pPr>
              <w:pStyle w:val="21"/>
              <w:spacing w:after="180"/>
            </w:pPr>
            <w:r>
              <w:t>≥ +3</w:t>
            </w:r>
          </w:p>
        </w:tc>
        <w:tc>
          <w:tcPr>
            <w:tcW w:w="1801" w:type="dxa"/>
            <w:vMerge w:val="continue"/>
            <w:noWrap w:val="0"/>
            <w:vAlign w:val="top"/>
          </w:tcPr>
          <w:p w14:paraId="19B79267">
            <w:pPr>
              <w:pStyle w:val="21"/>
              <w:spacing w:after="180"/>
            </w:pPr>
          </w:p>
        </w:tc>
        <w:tc>
          <w:tcPr>
            <w:tcW w:w="2347" w:type="dxa"/>
            <w:noWrap w:val="0"/>
            <w:vAlign w:val="top"/>
          </w:tcPr>
          <w:p w14:paraId="4E67D046">
            <w:pPr>
              <w:pStyle w:val="21"/>
              <w:spacing w:after="180"/>
              <w:rPr>
                <w:lang w:eastAsia="zh-CN"/>
              </w:rPr>
            </w:pPr>
            <w:r>
              <w:rPr>
                <w:lang w:eastAsia="zh-CN"/>
              </w:rPr>
              <w:t>24 ≤ BW ≤ 40</w:t>
            </w:r>
          </w:p>
        </w:tc>
      </w:tr>
      <w:tr w14:paraId="70B2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2353E2B">
            <w:pPr>
              <w:pStyle w:val="21"/>
              <w:spacing w:after="180"/>
            </w:pPr>
            <w:r>
              <w:rPr>
                <w:rFonts w:cs="Arial"/>
                <w:szCs w:val="18"/>
                <w:lang w:eastAsia="zh-CN"/>
              </w:rPr>
              <w:t>62</w:t>
            </w:r>
          </w:p>
        </w:tc>
        <w:tc>
          <w:tcPr>
            <w:tcW w:w="2074" w:type="dxa"/>
            <w:vMerge w:val="continue"/>
            <w:noWrap w:val="0"/>
            <w:vAlign w:val="top"/>
          </w:tcPr>
          <w:p w14:paraId="0548528D">
            <w:pPr>
              <w:pStyle w:val="21"/>
              <w:spacing w:after="180"/>
            </w:pPr>
          </w:p>
        </w:tc>
        <w:tc>
          <w:tcPr>
            <w:tcW w:w="1801" w:type="dxa"/>
            <w:vMerge w:val="continue"/>
            <w:noWrap w:val="0"/>
            <w:vAlign w:val="top"/>
          </w:tcPr>
          <w:p w14:paraId="64A45952">
            <w:pPr>
              <w:pStyle w:val="21"/>
              <w:spacing w:after="180"/>
            </w:pPr>
          </w:p>
        </w:tc>
        <w:tc>
          <w:tcPr>
            <w:tcW w:w="2347" w:type="dxa"/>
            <w:noWrap w:val="0"/>
            <w:vAlign w:val="top"/>
          </w:tcPr>
          <w:p w14:paraId="25114952">
            <w:pPr>
              <w:pStyle w:val="21"/>
              <w:spacing w:after="180"/>
            </w:pPr>
            <w:r>
              <w:rPr>
                <w:lang w:eastAsia="zh-CN"/>
              </w:rPr>
              <w:t xml:space="preserve"> 44 ≤ BW ≤ 84</w:t>
            </w:r>
          </w:p>
        </w:tc>
      </w:tr>
      <w:tr w14:paraId="0C1C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48FA62D">
            <w:pPr>
              <w:pStyle w:val="21"/>
              <w:spacing w:after="180"/>
              <w:rPr>
                <w:lang w:eastAsia="zh-CN"/>
              </w:rPr>
            </w:pPr>
            <w:r>
              <w:rPr>
                <w:rFonts w:cs="Arial"/>
                <w:szCs w:val="18"/>
                <w:lang w:eastAsia="zh-CN"/>
              </w:rPr>
              <w:t>32</w:t>
            </w:r>
          </w:p>
        </w:tc>
        <w:tc>
          <w:tcPr>
            <w:tcW w:w="2074" w:type="dxa"/>
            <w:vMerge w:val="continue"/>
            <w:noWrap w:val="0"/>
            <w:vAlign w:val="top"/>
          </w:tcPr>
          <w:p w14:paraId="0E349A40">
            <w:pPr>
              <w:pStyle w:val="21"/>
              <w:spacing w:after="180"/>
            </w:pPr>
          </w:p>
        </w:tc>
        <w:tc>
          <w:tcPr>
            <w:tcW w:w="1801" w:type="dxa"/>
            <w:vMerge w:val="continue"/>
            <w:noWrap w:val="0"/>
            <w:vAlign w:val="top"/>
          </w:tcPr>
          <w:p w14:paraId="4746E1B9">
            <w:pPr>
              <w:pStyle w:val="21"/>
              <w:spacing w:after="180"/>
            </w:pPr>
          </w:p>
        </w:tc>
        <w:tc>
          <w:tcPr>
            <w:tcW w:w="2347" w:type="dxa"/>
            <w:noWrap w:val="0"/>
            <w:vAlign w:val="top"/>
          </w:tcPr>
          <w:p w14:paraId="5AA4B7B8">
            <w:pPr>
              <w:pStyle w:val="21"/>
              <w:spacing w:after="180"/>
              <w:rPr>
                <w:lang w:eastAsia="zh-CN"/>
              </w:rPr>
            </w:pPr>
            <w:r>
              <w:rPr>
                <w:lang w:eastAsia="zh-CN"/>
              </w:rPr>
              <w:t xml:space="preserve"> 88 ≤ BW ≤ 168</w:t>
            </w:r>
          </w:p>
        </w:tc>
      </w:tr>
      <w:tr w14:paraId="67D8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1B5F158">
            <w:pPr>
              <w:pStyle w:val="21"/>
              <w:spacing w:after="180"/>
            </w:pPr>
            <w:r>
              <w:rPr>
                <w:rFonts w:cs="Arial"/>
                <w:szCs w:val="18"/>
                <w:lang w:eastAsia="zh-CN"/>
              </w:rPr>
              <w:t>16</w:t>
            </w:r>
          </w:p>
        </w:tc>
        <w:tc>
          <w:tcPr>
            <w:tcW w:w="2074" w:type="dxa"/>
            <w:vMerge w:val="continue"/>
            <w:noWrap w:val="0"/>
            <w:vAlign w:val="top"/>
          </w:tcPr>
          <w:p w14:paraId="714FA0CB">
            <w:pPr>
              <w:pStyle w:val="21"/>
              <w:spacing w:after="180"/>
            </w:pPr>
          </w:p>
        </w:tc>
        <w:tc>
          <w:tcPr>
            <w:tcW w:w="1801" w:type="dxa"/>
            <w:vMerge w:val="continue"/>
            <w:noWrap w:val="0"/>
            <w:vAlign w:val="top"/>
          </w:tcPr>
          <w:p w14:paraId="3136958D">
            <w:pPr>
              <w:pStyle w:val="21"/>
              <w:spacing w:after="180"/>
            </w:pPr>
          </w:p>
        </w:tc>
        <w:tc>
          <w:tcPr>
            <w:tcW w:w="2347" w:type="dxa"/>
            <w:noWrap w:val="0"/>
            <w:vAlign w:val="top"/>
          </w:tcPr>
          <w:p w14:paraId="1CA691DB">
            <w:pPr>
              <w:pStyle w:val="21"/>
              <w:spacing w:after="180"/>
            </w:pPr>
            <w:r>
              <w:rPr>
                <w:lang w:eastAsia="zh-CN"/>
              </w:rPr>
              <w:t>176 ≤ BW</w:t>
            </w:r>
          </w:p>
        </w:tc>
      </w:tr>
      <w:tr w14:paraId="5177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6B00D22">
            <w:pPr>
              <w:pStyle w:val="21"/>
              <w:spacing w:after="180"/>
              <w:rPr>
                <w:lang w:eastAsia="zh-CN"/>
              </w:rPr>
            </w:pPr>
            <w:r>
              <w:rPr>
                <w:rFonts w:cs="Arial"/>
                <w:szCs w:val="18"/>
                <w:lang w:eastAsia="zh-CN"/>
              </w:rPr>
              <w:t>42</w:t>
            </w:r>
          </w:p>
        </w:tc>
        <w:tc>
          <w:tcPr>
            <w:tcW w:w="2074" w:type="dxa"/>
            <w:vMerge w:val="restart"/>
            <w:noWrap w:val="0"/>
            <w:vAlign w:val="top"/>
          </w:tcPr>
          <w:p w14:paraId="686D840D">
            <w:pPr>
              <w:pStyle w:val="21"/>
              <w:spacing w:after="180"/>
            </w:pPr>
            <w:r>
              <w:t>≥ -13</w:t>
            </w:r>
          </w:p>
        </w:tc>
        <w:tc>
          <w:tcPr>
            <w:tcW w:w="1801" w:type="dxa"/>
            <w:vMerge w:val="restart"/>
            <w:noWrap w:val="0"/>
            <w:vAlign w:val="top"/>
          </w:tcPr>
          <w:p w14:paraId="67147863">
            <w:pPr>
              <w:pStyle w:val="21"/>
              <w:spacing w:after="180"/>
              <w:rPr>
                <w:lang w:eastAsia="zh-CN"/>
              </w:rPr>
            </w:pPr>
            <w:r>
              <w:rPr>
                <w:lang w:eastAsia="zh-CN"/>
              </w:rPr>
              <w:t>30</w:t>
            </w:r>
          </w:p>
        </w:tc>
        <w:tc>
          <w:tcPr>
            <w:tcW w:w="2347" w:type="dxa"/>
            <w:noWrap w:val="0"/>
            <w:vAlign w:val="top"/>
          </w:tcPr>
          <w:p w14:paraId="4D82BF4C">
            <w:pPr>
              <w:pStyle w:val="21"/>
              <w:spacing w:after="180"/>
              <w:rPr>
                <w:lang w:eastAsia="zh-CN"/>
              </w:rPr>
            </w:pPr>
            <w:r>
              <w:rPr>
                <w:lang w:eastAsia="zh-CN"/>
              </w:rPr>
              <w:t xml:space="preserve"> 48 ≤ BW ≤ 84</w:t>
            </w:r>
          </w:p>
        </w:tc>
      </w:tr>
      <w:tr w14:paraId="0188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6E1FDD9">
            <w:pPr>
              <w:pStyle w:val="21"/>
              <w:spacing w:after="180"/>
            </w:pPr>
            <w:r>
              <w:rPr>
                <w:rFonts w:cs="Arial"/>
                <w:szCs w:val="18"/>
                <w:lang w:eastAsia="zh-CN"/>
              </w:rPr>
              <w:t>24</w:t>
            </w:r>
          </w:p>
        </w:tc>
        <w:tc>
          <w:tcPr>
            <w:tcW w:w="2074" w:type="dxa"/>
            <w:vMerge w:val="continue"/>
            <w:noWrap w:val="0"/>
            <w:vAlign w:val="top"/>
          </w:tcPr>
          <w:p w14:paraId="1296B04C">
            <w:pPr>
              <w:pStyle w:val="21"/>
              <w:spacing w:after="180"/>
            </w:pPr>
          </w:p>
        </w:tc>
        <w:tc>
          <w:tcPr>
            <w:tcW w:w="1801" w:type="dxa"/>
            <w:vMerge w:val="continue"/>
            <w:noWrap w:val="0"/>
            <w:vAlign w:val="top"/>
          </w:tcPr>
          <w:p w14:paraId="55D651F2">
            <w:pPr>
              <w:pStyle w:val="21"/>
              <w:spacing w:after="180"/>
            </w:pPr>
          </w:p>
        </w:tc>
        <w:tc>
          <w:tcPr>
            <w:tcW w:w="2347" w:type="dxa"/>
            <w:noWrap w:val="0"/>
            <w:vAlign w:val="top"/>
          </w:tcPr>
          <w:p w14:paraId="15868D5C">
            <w:pPr>
              <w:pStyle w:val="21"/>
              <w:spacing w:after="180"/>
            </w:pPr>
            <w:r>
              <w:rPr>
                <w:lang w:eastAsia="zh-CN"/>
              </w:rPr>
              <w:t xml:space="preserve"> 88 ≤ BW ≤ 168</w:t>
            </w:r>
          </w:p>
        </w:tc>
      </w:tr>
      <w:tr w14:paraId="2FE75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F60FDA8">
            <w:pPr>
              <w:pStyle w:val="21"/>
              <w:spacing w:after="180"/>
              <w:rPr>
                <w:lang w:eastAsia="zh-CN"/>
              </w:rPr>
            </w:pPr>
            <w:r>
              <w:rPr>
                <w:lang w:eastAsia="zh-CN"/>
              </w:rPr>
              <w:t>8</w:t>
            </w:r>
          </w:p>
        </w:tc>
        <w:tc>
          <w:tcPr>
            <w:tcW w:w="2074" w:type="dxa"/>
            <w:vMerge w:val="continue"/>
            <w:noWrap w:val="0"/>
            <w:vAlign w:val="top"/>
          </w:tcPr>
          <w:p w14:paraId="3C7CE1EB">
            <w:pPr>
              <w:pStyle w:val="21"/>
              <w:spacing w:after="180"/>
            </w:pPr>
          </w:p>
        </w:tc>
        <w:tc>
          <w:tcPr>
            <w:tcW w:w="1801" w:type="dxa"/>
            <w:vMerge w:val="continue"/>
            <w:noWrap w:val="0"/>
            <w:vAlign w:val="top"/>
          </w:tcPr>
          <w:p w14:paraId="2A9C906E">
            <w:pPr>
              <w:pStyle w:val="21"/>
              <w:spacing w:after="180"/>
            </w:pPr>
          </w:p>
        </w:tc>
        <w:tc>
          <w:tcPr>
            <w:tcW w:w="2347" w:type="dxa"/>
            <w:noWrap w:val="0"/>
            <w:vAlign w:val="top"/>
          </w:tcPr>
          <w:p w14:paraId="030D9061">
            <w:pPr>
              <w:pStyle w:val="21"/>
              <w:spacing w:after="180"/>
              <w:rPr>
                <w:lang w:eastAsia="zh-CN"/>
              </w:rPr>
            </w:pPr>
            <w:r>
              <w:rPr>
                <w:lang w:eastAsia="zh-CN"/>
              </w:rPr>
              <w:t>176 ≤ BW</w:t>
            </w:r>
          </w:p>
        </w:tc>
      </w:tr>
      <w:tr w14:paraId="7D179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BCD99E1">
            <w:pPr>
              <w:pStyle w:val="21"/>
              <w:spacing w:after="180"/>
              <w:rPr>
                <w:lang w:eastAsia="zh-CN"/>
              </w:rPr>
            </w:pPr>
            <w:r>
              <w:rPr>
                <w:lang w:eastAsia="zh-CN"/>
              </w:rPr>
              <w:t>32</w:t>
            </w:r>
          </w:p>
        </w:tc>
        <w:tc>
          <w:tcPr>
            <w:tcW w:w="2074" w:type="dxa"/>
            <w:vMerge w:val="restart"/>
            <w:noWrap w:val="0"/>
            <w:vAlign w:val="top"/>
          </w:tcPr>
          <w:p w14:paraId="338D049D">
            <w:pPr>
              <w:pStyle w:val="21"/>
              <w:spacing w:after="180"/>
            </w:pPr>
            <w:r>
              <w:t>≥ +3</w:t>
            </w:r>
          </w:p>
        </w:tc>
        <w:tc>
          <w:tcPr>
            <w:tcW w:w="1801" w:type="dxa"/>
            <w:vMerge w:val="continue"/>
            <w:noWrap w:val="0"/>
            <w:vAlign w:val="top"/>
          </w:tcPr>
          <w:p w14:paraId="24B73DD9">
            <w:pPr>
              <w:pStyle w:val="21"/>
              <w:spacing w:after="180"/>
            </w:pPr>
          </w:p>
        </w:tc>
        <w:tc>
          <w:tcPr>
            <w:tcW w:w="2347" w:type="dxa"/>
            <w:noWrap w:val="0"/>
            <w:vAlign w:val="top"/>
          </w:tcPr>
          <w:p w14:paraId="188C3D2C">
            <w:pPr>
              <w:pStyle w:val="21"/>
              <w:spacing w:after="180"/>
              <w:rPr>
                <w:lang w:eastAsia="zh-CN"/>
              </w:rPr>
            </w:pPr>
            <w:r>
              <w:rPr>
                <w:lang w:eastAsia="zh-CN"/>
              </w:rPr>
              <w:t xml:space="preserve"> 48 ≤ BW ≤ 84</w:t>
            </w:r>
          </w:p>
        </w:tc>
      </w:tr>
      <w:tr w14:paraId="2523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597BA0A">
            <w:pPr>
              <w:pStyle w:val="21"/>
              <w:spacing w:after="180"/>
            </w:pPr>
            <w:r>
              <w:rPr>
                <w:lang w:eastAsia="zh-CN"/>
              </w:rPr>
              <w:t>17</w:t>
            </w:r>
          </w:p>
        </w:tc>
        <w:tc>
          <w:tcPr>
            <w:tcW w:w="2074" w:type="dxa"/>
            <w:vMerge w:val="continue"/>
            <w:noWrap w:val="0"/>
            <w:vAlign w:val="top"/>
          </w:tcPr>
          <w:p w14:paraId="050F3A93">
            <w:pPr>
              <w:pStyle w:val="21"/>
              <w:spacing w:after="180"/>
            </w:pPr>
          </w:p>
        </w:tc>
        <w:tc>
          <w:tcPr>
            <w:tcW w:w="1801" w:type="dxa"/>
            <w:vMerge w:val="continue"/>
            <w:noWrap w:val="0"/>
            <w:vAlign w:val="top"/>
          </w:tcPr>
          <w:p w14:paraId="0F7945C2">
            <w:pPr>
              <w:pStyle w:val="21"/>
              <w:spacing w:after="180"/>
            </w:pPr>
          </w:p>
        </w:tc>
        <w:tc>
          <w:tcPr>
            <w:tcW w:w="2347" w:type="dxa"/>
            <w:noWrap w:val="0"/>
            <w:vAlign w:val="top"/>
          </w:tcPr>
          <w:p w14:paraId="7842F1B9">
            <w:pPr>
              <w:pStyle w:val="21"/>
              <w:spacing w:after="180"/>
            </w:pPr>
            <w:r>
              <w:rPr>
                <w:lang w:eastAsia="zh-CN"/>
              </w:rPr>
              <w:t xml:space="preserve"> 88 ≤ BW ≤ 168</w:t>
            </w:r>
          </w:p>
        </w:tc>
      </w:tr>
      <w:tr w14:paraId="0FE8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C34497B">
            <w:pPr>
              <w:pStyle w:val="21"/>
              <w:spacing w:after="180"/>
              <w:rPr>
                <w:lang w:eastAsia="zh-CN"/>
              </w:rPr>
            </w:pPr>
            <w:r>
              <w:rPr>
                <w:lang w:eastAsia="zh-CN"/>
              </w:rPr>
              <w:t>9</w:t>
            </w:r>
          </w:p>
        </w:tc>
        <w:tc>
          <w:tcPr>
            <w:tcW w:w="2074" w:type="dxa"/>
            <w:vMerge w:val="continue"/>
            <w:noWrap w:val="0"/>
            <w:vAlign w:val="top"/>
          </w:tcPr>
          <w:p w14:paraId="01097258">
            <w:pPr>
              <w:pStyle w:val="21"/>
              <w:spacing w:after="180"/>
            </w:pPr>
          </w:p>
        </w:tc>
        <w:tc>
          <w:tcPr>
            <w:tcW w:w="1801" w:type="dxa"/>
            <w:vMerge w:val="continue"/>
            <w:noWrap w:val="0"/>
            <w:vAlign w:val="top"/>
          </w:tcPr>
          <w:p w14:paraId="3A195447">
            <w:pPr>
              <w:pStyle w:val="21"/>
              <w:spacing w:after="180"/>
            </w:pPr>
          </w:p>
        </w:tc>
        <w:tc>
          <w:tcPr>
            <w:tcW w:w="2347" w:type="dxa"/>
            <w:noWrap w:val="0"/>
            <w:vAlign w:val="top"/>
          </w:tcPr>
          <w:p w14:paraId="7525EDD1">
            <w:pPr>
              <w:pStyle w:val="21"/>
              <w:spacing w:after="180"/>
              <w:rPr>
                <w:lang w:eastAsia="zh-CN"/>
              </w:rPr>
            </w:pPr>
            <w:r>
              <w:rPr>
                <w:lang w:eastAsia="zh-CN"/>
              </w:rPr>
              <w:t>176 ≤ BW</w:t>
            </w:r>
          </w:p>
        </w:tc>
      </w:tr>
      <w:tr w14:paraId="448E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5EAD26B">
            <w:pPr>
              <w:pStyle w:val="21"/>
              <w:spacing w:after="180"/>
              <w:rPr>
                <w:lang w:eastAsia="zh-CN"/>
              </w:rPr>
            </w:pPr>
            <w:r>
              <w:rPr>
                <w:lang w:eastAsia="zh-CN"/>
              </w:rPr>
              <w:t>21</w:t>
            </w:r>
          </w:p>
        </w:tc>
        <w:tc>
          <w:tcPr>
            <w:tcW w:w="2074" w:type="dxa"/>
            <w:vMerge w:val="restart"/>
            <w:noWrap w:val="0"/>
            <w:vAlign w:val="top"/>
          </w:tcPr>
          <w:p w14:paraId="2B1E1856">
            <w:pPr>
              <w:pStyle w:val="21"/>
              <w:spacing w:after="180"/>
            </w:pPr>
            <w:r>
              <w:t>≥ -13</w:t>
            </w:r>
          </w:p>
        </w:tc>
        <w:tc>
          <w:tcPr>
            <w:tcW w:w="1801" w:type="dxa"/>
            <w:vMerge w:val="restart"/>
            <w:noWrap w:val="0"/>
            <w:vAlign w:val="top"/>
          </w:tcPr>
          <w:p w14:paraId="43ACA31A">
            <w:pPr>
              <w:pStyle w:val="21"/>
              <w:spacing w:after="180"/>
              <w:rPr>
                <w:lang w:eastAsia="zh-CN"/>
              </w:rPr>
            </w:pPr>
            <w:r>
              <w:rPr>
                <w:lang w:eastAsia="zh-CN"/>
              </w:rPr>
              <w:t>60</w:t>
            </w:r>
          </w:p>
        </w:tc>
        <w:tc>
          <w:tcPr>
            <w:tcW w:w="2347" w:type="dxa"/>
            <w:noWrap w:val="0"/>
            <w:vAlign w:val="top"/>
          </w:tcPr>
          <w:p w14:paraId="6B9D9D16">
            <w:pPr>
              <w:pStyle w:val="21"/>
              <w:spacing w:after="180"/>
              <w:rPr>
                <w:lang w:eastAsia="zh-CN"/>
              </w:rPr>
            </w:pPr>
            <w:r>
              <w:rPr>
                <w:lang w:eastAsia="zh-CN"/>
              </w:rPr>
              <w:t xml:space="preserve"> 48 ≤ BW ≤ 84</w:t>
            </w:r>
          </w:p>
        </w:tc>
      </w:tr>
      <w:tr w14:paraId="6FC9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4B7ABCC">
            <w:pPr>
              <w:pStyle w:val="21"/>
              <w:spacing w:after="180"/>
            </w:pPr>
            <w:r>
              <w:rPr>
                <w:lang w:eastAsia="zh-CN"/>
              </w:rPr>
              <w:t>12</w:t>
            </w:r>
          </w:p>
        </w:tc>
        <w:tc>
          <w:tcPr>
            <w:tcW w:w="2074" w:type="dxa"/>
            <w:vMerge w:val="continue"/>
            <w:noWrap w:val="0"/>
            <w:vAlign w:val="top"/>
          </w:tcPr>
          <w:p w14:paraId="53C0A026">
            <w:pPr>
              <w:pStyle w:val="21"/>
              <w:spacing w:after="180"/>
            </w:pPr>
          </w:p>
        </w:tc>
        <w:tc>
          <w:tcPr>
            <w:tcW w:w="1801" w:type="dxa"/>
            <w:vMerge w:val="continue"/>
            <w:noWrap w:val="0"/>
            <w:vAlign w:val="top"/>
          </w:tcPr>
          <w:p w14:paraId="18CA2271">
            <w:pPr>
              <w:pStyle w:val="21"/>
              <w:spacing w:after="180"/>
            </w:pPr>
          </w:p>
        </w:tc>
        <w:tc>
          <w:tcPr>
            <w:tcW w:w="2347" w:type="dxa"/>
            <w:noWrap w:val="0"/>
            <w:vAlign w:val="top"/>
          </w:tcPr>
          <w:p w14:paraId="64B26A20">
            <w:pPr>
              <w:pStyle w:val="21"/>
              <w:spacing w:after="180"/>
            </w:pPr>
            <w:r>
              <w:rPr>
                <w:lang w:eastAsia="zh-CN"/>
              </w:rPr>
              <w:t xml:space="preserve"> 88 ≤ BW </w:t>
            </w:r>
          </w:p>
        </w:tc>
      </w:tr>
      <w:tr w14:paraId="7B38B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1D02FC3">
            <w:pPr>
              <w:pStyle w:val="21"/>
              <w:spacing w:after="180"/>
              <w:rPr>
                <w:lang w:eastAsia="zh-CN"/>
              </w:rPr>
            </w:pPr>
            <w:r>
              <w:rPr>
                <w:lang w:eastAsia="zh-CN"/>
              </w:rPr>
              <w:t>16</w:t>
            </w:r>
          </w:p>
        </w:tc>
        <w:tc>
          <w:tcPr>
            <w:tcW w:w="2074" w:type="dxa"/>
            <w:vMerge w:val="restart"/>
            <w:noWrap w:val="0"/>
            <w:vAlign w:val="top"/>
          </w:tcPr>
          <w:p w14:paraId="2DE86BD0">
            <w:pPr>
              <w:pStyle w:val="21"/>
              <w:spacing w:after="180"/>
            </w:pPr>
            <w:r>
              <w:t>≥ +3</w:t>
            </w:r>
          </w:p>
        </w:tc>
        <w:tc>
          <w:tcPr>
            <w:tcW w:w="1801" w:type="dxa"/>
            <w:vMerge w:val="continue"/>
            <w:noWrap w:val="0"/>
            <w:vAlign w:val="top"/>
          </w:tcPr>
          <w:p w14:paraId="11D843FC">
            <w:pPr>
              <w:pStyle w:val="21"/>
              <w:spacing w:after="180"/>
            </w:pPr>
          </w:p>
        </w:tc>
        <w:tc>
          <w:tcPr>
            <w:tcW w:w="2347" w:type="dxa"/>
            <w:noWrap w:val="0"/>
            <w:vAlign w:val="top"/>
          </w:tcPr>
          <w:p w14:paraId="40502783">
            <w:pPr>
              <w:pStyle w:val="21"/>
              <w:spacing w:after="180"/>
              <w:rPr>
                <w:lang w:eastAsia="zh-CN"/>
              </w:rPr>
            </w:pPr>
            <w:r>
              <w:rPr>
                <w:lang w:eastAsia="zh-CN"/>
              </w:rPr>
              <w:t xml:space="preserve"> 48 ≤ BW ≤ 84</w:t>
            </w:r>
          </w:p>
        </w:tc>
      </w:tr>
      <w:tr w14:paraId="6CDE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85C7081">
            <w:pPr>
              <w:pStyle w:val="21"/>
              <w:spacing w:after="180"/>
            </w:pPr>
            <w:r>
              <w:rPr>
                <w:lang w:eastAsia="zh-CN"/>
              </w:rPr>
              <w:t>9</w:t>
            </w:r>
          </w:p>
        </w:tc>
        <w:tc>
          <w:tcPr>
            <w:tcW w:w="2074" w:type="dxa"/>
            <w:vMerge w:val="continue"/>
            <w:noWrap w:val="0"/>
            <w:vAlign w:val="top"/>
          </w:tcPr>
          <w:p w14:paraId="53CD443D">
            <w:pPr>
              <w:pStyle w:val="21"/>
              <w:spacing w:after="180"/>
            </w:pPr>
          </w:p>
        </w:tc>
        <w:tc>
          <w:tcPr>
            <w:tcW w:w="1801" w:type="dxa"/>
            <w:vMerge w:val="continue"/>
            <w:noWrap w:val="0"/>
            <w:vAlign w:val="top"/>
          </w:tcPr>
          <w:p w14:paraId="59E2C1D7">
            <w:pPr>
              <w:pStyle w:val="21"/>
              <w:spacing w:after="180"/>
            </w:pPr>
          </w:p>
        </w:tc>
        <w:tc>
          <w:tcPr>
            <w:tcW w:w="2347" w:type="dxa"/>
            <w:noWrap w:val="0"/>
            <w:vAlign w:val="top"/>
          </w:tcPr>
          <w:p w14:paraId="3ADC8AA0">
            <w:pPr>
              <w:pStyle w:val="21"/>
              <w:spacing w:after="180"/>
            </w:pPr>
            <w:r>
              <w:rPr>
                <w:lang w:eastAsia="zh-CN"/>
              </w:rPr>
              <w:t xml:space="preserve"> 88 ≤ BW </w:t>
            </w:r>
          </w:p>
        </w:tc>
      </w:tr>
    </w:tbl>
    <w:p w14:paraId="49464C4A"/>
    <w:p w14:paraId="02C9CEAB">
      <w:pPr>
        <w:pStyle w:val="19"/>
        <w:rPr>
          <w:lang w:val="en-US"/>
        </w:rPr>
      </w:pPr>
      <w:r>
        <w:t>Table 13.2.2.2-2: gNB Rx-Tx time difference absolute accuracy in FR2 for gNB type 2-O</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1801"/>
        <w:gridCol w:w="2347"/>
      </w:tblGrid>
      <w:tr w14:paraId="1427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4D57FB9">
            <w:pPr>
              <w:pStyle w:val="20"/>
              <w:spacing w:after="180"/>
            </w:pPr>
            <w:r>
              <w:t>Accuracy</w:t>
            </w:r>
          </w:p>
        </w:tc>
        <w:tc>
          <w:tcPr>
            <w:tcW w:w="2074" w:type="dxa"/>
            <w:noWrap w:val="0"/>
            <w:vAlign w:val="top"/>
          </w:tcPr>
          <w:p w14:paraId="4AD0279D">
            <w:pPr>
              <w:pStyle w:val="20"/>
              <w:spacing w:after="180"/>
            </w:pPr>
            <w:r>
              <w:t>SRS Ês/Iot</w:t>
            </w:r>
          </w:p>
        </w:tc>
        <w:tc>
          <w:tcPr>
            <w:tcW w:w="1801" w:type="dxa"/>
            <w:noWrap w:val="0"/>
            <w:vAlign w:val="top"/>
          </w:tcPr>
          <w:p w14:paraId="0013D137">
            <w:pPr>
              <w:pStyle w:val="20"/>
              <w:spacing w:after="180"/>
            </w:pPr>
            <w:r>
              <w:t>SCS</w:t>
            </w:r>
          </w:p>
        </w:tc>
        <w:tc>
          <w:tcPr>
            <w:tcW w:w="2347" w:type="dxa"/>
            <w:noWrap w:val="0"/>
            <w:vAlign w:val="top"/>
          </w:tcPr>
          <w:p w14:paraId="096D12B9">
            <w:pPr>
              <w:pStyle w:val="20"/>
              <w:spacing w:after="180"/>
            </w:pPr>
            <w:r>
              <w:t>SRS bandwidth range</w:t>
            </w:r>
          </w:p>
        </w:tc>
      </w:tr>
      <w:tr w14:paraId="14C6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150435B">
            <w:pPr>
              <w:pStyle w:val="20"/>
              <w:spacing w:after="180"/>
              <w:rPr>
                <w:lang w:eastAsia="zh-CN"/>
              </w:rPr>
            </w:pPr>
            <w:r>
              <w:rPr>
                <w:lang w:eastAsia="zh-CN"/>
              </w:rPr>
              <w:t>Unit: Tc</w:t>
            </w:r>
          </w:p>
        </w:tc>
        <w:tc>
          <w:tcPr>
            <w:tcW w:w="2074" w:type="dxa"/>
            <w:noWrap w:val="0"/>
            <w:vAlign w:val="top"/>
          </w:tcPr>
          <w:p w14:paraId="77758BC7">
            <w:pPr>
              <w:pStyle w:val="20"/>
              <w:spacing w:after="180"/>
              <w:rPr>
                <w:lang w:eastAsia="zh-CN"/>
              </w:rPr>
            </w:pPr>
            <w:r>
              <w:rPr>
                <w:lang w:eastAsia="zh-CN"/>
              </w:rPr>
              <w:t>Unit: dB</w:t>
            </w:r>
          </w:p>
        </w:tc>
        <w:tc>
          <w:tcPr>
            <w:tcW w:w="1801" w:type="dxa"/>
            <w:noWrap w:val="0"/>
            <w:vAlign w:val="top"/>
          </w:tcPr>
          <w:p w14:paraId="6A29444C">
            <w:pPr>
              <w:pStyle w:val="20"/>
              <w:spacing w:after="180"/>
              <w:rPr>
                <w:lang w:eastAsia="zh-CN"/>
              </w:rPr>
            </w:pPr>
            <w:r>
              <w:rPr>
                <w:lang w:eastAsia="zh-CN"/>
              </w:rPr>
              <w:t>Unit: kHz</w:t>
            </w:r>
          </w:p>
        </w:tc>
        <w:tc>
          <w:tcPr>
            <w:tcW w:w="2347" w:type="dxa"/>
            <w:noWrap w:val="0"/>
            <w:vAlign w:val="top"/>
          </w:tcPr>
          <w:p w14:paraId="61DC198B">
            <w:pPr>
              <w:pStyle w:val="20"/>
              <w:spacing w:after="180"/>
              <w:rPr>
                <w:lang w:eastAsia="zh-CN"/>
              </w:rPr>
            </w:pPr>
            <w:r>
              <w:rPr>
                <w:lang w:eastAsia="zh-CN"/>
              </w:rPr>
              <w:t>Unit: RB</w:t>
            </w:r>
          </w:p>
        </w:tc>
      </w:tr>
      <w:tr w14:paraId="2865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B6A3560">
            <w:pPr>
              <w:pStyle w:val="21"/>
              <w:spacing w:after="180"/>
            </w:pPr>
            <w:r>
              <w:rPr>
                <w:lang w:eastAsia="zh-CN"/>
              </w:rPr>
              <w:t>9</w:t>
            </w:r>
          </w:p>
        </w:tc>
        <w:tc>
          <w:tcPr>
            <w:tcW w:w="2074" w:type="dxa"/>
            <w:vMerge w:val="restart"/>
            <w:noWrap w:val="0"/>
            <w:vAlign w:val="top"/>
          </w:tcPr>
          <w:p w14:paraId="10B7D7EF">
            <w:pPr>
              <w:pStyle w:val="21"/>
              <w:spacing w:after="180"/>
            </w:pPr>
            <w:r>
              <w:t>≥ -13</w:t>
            </w:r>
          </w:p>
        </w:tc>
        <w:tc>
          <w:tcPr>
            <w:tcW w:w="1801" w:type="dxa"/>
            <w:vMerge w:val="restart"/>
            <w:noWrap w:val="0"/>
            <w:vAlign w:val="top"/>
          </w:tcPr>
          <w:p w14:paraId="3019458B">
            <w:pPr>
              <w:pStyle w:val="21"/>
              <w:spacing w:after="180"/>
              <w:rPr>
                <w:lang w:eastAsia="zh-CN"/>
              </w:rPr>
            </w:pPr>
            <w:r>
              <w:rPr>
                <w:rFonts w:hint="eastAsia"/>
                <w:lang w:eastAsia="zh-CN"/>
              </w:rPr>
              <w:t>6</w:t>
            </w:r>
            <w:r>
              <w:rPr>
                <w:lang w:eastAsia="zh-CN"/>
              </w:rPr>
              <w:t>0</w:t>
            </w:r>
          </w:p>
        </w:tc>
        <w:tc>
          <w:tcPr>
            <w:tcW w:w="2347" w:type="dxa"/>
            <w:noWrap w:val="0"/>
            <w:vAlign w:val="top"/>
          </w:tcPr>
          <w:p w14:paraId="5AFB4663">
            <w:pPr>
              <w:pStyle w:val="21"/>
              <w:spacing w:after="180"/>
            </w:pPr>
            <w:r>
              <w:rPr>
                <w:lang w:eastAsia="zh-CN"/>
              </w:rPr>
              <w:t xml:space="preserve"> 132 ≤ BW ≤ 168</w:t>
            </w:r>
          </w:p>
        </w:tc>
      </w:tr>
      <w:tr w14:paraId="540F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17D8E37">
            <w:pPr>
              <w:pStyle w:val="21"/>
              <w:spacing w:after="180"/>
              <w:rPr>
                <w:lang w:eastAsia="zh-CN"/>
              </w:rPr>
            </w:pPr>
            <w:r>
              <w:rPr>
                <w:lang w:eastAsia="zh-CN"/>
              </w:rPr>
              <w:t>8</w:t>
            </w:r>
          </w:p>
        </w:tc>
        <w:tc>
          <w:tcPr>
            <w:tcW w:w="2074" w:type="dxa"/>
            <w:vMerge w:val="continue"/>
            <w:noWrap w:val="0"/>
            <w:vAlign w:val="top"/>
          </w:tcPr>
          <w:p w14:paraId="436A7192">
            <w:pPr>
              <w:pStyle w:val="21"/>
              <w:spacing w:after="180"/>
            </w:pPr>
          </w:p>
        </w:tc>
        <w:tc>
          <w:tcPr>
            <w:tcW w:w="1801" w:type="dxa"/>
            <w:vMerge w:val="continue"/>
            <w:noWrap w:val="0"/>
            <w:vAlign w:val="top"/>
          </w:tcPr>
          <w:p w14:paraId="1A3CCDB7">
            <w:pPr>
              <w:pStyle w:val="21"/>
              <w:spacing w:after="180"/>
            </w:pPr>
          </w:p>
        </w:tc>
        <w:tc>
          <w:tcPr>
            <w:tcW w:w="2347" w:type="dxa"/>
            <w:noWrap w:val="0"/>
            <w:vAlign w:val="top"/>
          </w:tcPr>
          <w:p w14:paraId="4FDA71C5">
            <w:pPr>
              <w:pStyle w:val="21"/>
              <w:spacing w:after="180"/>
              <w:rPr>
                <w:lang w:eastAsia="zh-CN"/>
              </w:rPr>
            </w:pPr>
            <w:r>
              <w:rPr>
                <w:lang w:eastAsia="zh-CN"/>
              </w:rPr>
              <w:t>176 ≤ BW</w:t>
            </w:r>
          </w:p>
        </w:tc>
      </w:tr>
      <w:tr w14:paraId="0958D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3F8BDD47">
            <w:pPr>
              <w:pStyle w:val="21"/>
              <w:spacing w:after="180"/>
            </w:pPr>
            <w:r>
              <w:rPr>
                <w:lang w:eastAsia="zh-CN"/>
              </w:rPr>
              <w:t>9</w:t>
            </w:r>
          </w:p>
        </w:tc>
        <w:tc>
          <w:tcPr>
            <w:tcW w:w="2074" w:type="dxa"/>
            <w:vMerge w:val="restart"/>
            <w:noWrap w:val="0"/>
            <w:vAlign w:val="top"/>
          </w:tcPr>
          <w:p w14:paraId="24A62805">
            <w:pPr>
              <w:pStyle w:val="21"/>
              <w:spacing w:after="180"/>
            </w:pPr>
            <w:r>
              <w:t>≥ +3</w:t>
            </w:r>
          </w:p>
        </w:tc>
        <w:tc>
          <w:tcPr>
            <w:tcW w:w="1801" w:type="dxa"/>
            <w:vMerge w:val="continue"/>
            <w:noWrap w:val="0"/>
            <w:vAlign w:val="top"/>
          </w:tcPr>
          <w:p w14:paraId="20B5A442">
            <w:pPr>
              <w:pStyle w:val="21"/>
              <w:spacing w:after="180"/>
            </w:pPr>
          </w:p>
        </w:tc>
        <w:tc>
          <w:tcPr>
            <w:tcW w:w="2347" w:type="dxa"/>
            <w:noWrap w:val="0"/>
            <w:vAlign w:val="top"/>
          </w:tcPr>
          <w:p w14:paraId="48F3CD44">
            <w:pPr>
              <w:pStyle w:val="21"/>
              <w:spacing w:after="180"/>
            </w:pPr>
            <w:r>
              <w:rPr>
                <w:lang w:eastAsia="zh-CN"/>
              </w:rPr>
              <w:t>132 ≤ BW ≤ 168</w:t>
            </w:r>
          </w:p>
        </w:tc>
      </w:tr>
      <w:tr w14:paraId="6D03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0286996A">
            <w:pPr>
              <w:pStyle w:val="21"/>
              <w:spacing w:after="180"/>
              <w:rPr>
                <w:lang w:eastAsia="zh-CN"/>
              </w:rPr>
            </w:pPr>
            <w:r>
              <w:rPr>
                <w:lang w:eastAsia="zh-CN"/>
              </w:rPr>
              <w:t>8</w:t>
            </w:r>
          </w:p>
        </w:tc>
        <w:tc>
          <w:tcPr>
            <w:tcW w:w="2074" w:type="dxa"/>
            <w:vMerge w:val="continue"/>
            <w:noWrap w:val="0"/>
            <w:vAlign w:val="top"/>
          </w:tcPr>
          <w:p w14:paraId="7E3E8A2F">
            <w:pPr>
              <w:pStyle w:val="21"/>
              <w:spacing w:after="180"/>
            </w:pPr>
          </w:p>
        </w:tc>
        <w:tc>
          <w:tcPr>
            <w:tcW w:w="1801" w:type="dxa"/>
            <w:vMerge w:val="continue"/>
            <w:noWrap w:val="0"/>
            <w:vAlign w:val="top"/>
          </w:tcPr>
          <w:p w14:paraId="59A1C249">
            <w:pPr>
              <w:pStyle w:val="21"/>
              <w:spacing w:after="180"/>
            </w:pPr>
          </w:p>
        </w:tc>
        <w:tc>
          <w:tcPr>
            <w:tcW w:w="2347" w:type="dxa"/>
            <w:noWrap w:val="0"/>
            <w:vAlign w:val="top"/>
          </w:tcPr>
          <w:p w14:paraId="5B6A8AAC">
            <w:pPr>
              <w:pStyle w:val="21"/>
              <w:spacing w:after="180"/>
              <w:rPr>
                <w:lang w:eastAsia="zh-CN"/>
              </w:rPr>
            </w:pPr>
            <w:r>
              <w:rPr>
                <w:lang w:eastAsia="zh-CN"/>
              </w:rPr>
              <w:t>176 ≤ BW</w:t>
            </w:r>
          </w:p>
        </w:tc>
      </w:tr>
      <w:tr w14:paraId="6CD5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1D03302D">
            <w:pPr>
              <w:pStyle w:val="21"/>
              <w:spacing w:after="180"/>
              <w:rPr>
                <w:lang w:eastAsia="zh-CN"/>
              </w:rPr>
            </w:pPr>
            <w:r>
              <w:rPr>
                <w:lang w:eastAsia="zh-CN"/>
              </w:rPr>
              <w:t>22</w:t>
            </w:r>
          </w:p>
        </w:tc>
        <w:tc>
          <w:tcPr>
            <w:tcW w:w="2074" w:type="dxa"/>
            <w:vMerge w:val="restart"/>
            <w:noWrap w:val="0"/>
            <w:vAlign w:val="top"/>
          </w:tcPr>
          <w:p w14:paraId="777D52CB">
            <w:pPr>
              <w:pStyle w:val="21"/>
              <w:spacing w:after="180"/>
            </w:pPr>
            <w:r>
              <w:t>≥ -13</w:t>
            </w:r>
          </w:p>
        </w:tc>
        <w:tc>
          <w:tcPr>
            <w:tcW w:w="1801" w:type="dxa"/>
            <w:vMerge w:val="restart"/>
            <w:noWrap w:val="0"/>
            <w:vAlign w:val="top"/>
          </w:tcPr>
          <w:p w14:paraId="42193662">
            <w:pPr>
              <w:pStyle w:val="21"/>
              <w:spacing w:after="180"/>
              <w:rPr>
                <w:lang w:eastAsia="zh-CN"/>
              </w:rPr>
            </w:pPr>
            <w:r>
              <w:rPr>
                <w:lang w:eastAsia="zh-CN"/>
              </w:rPr>
              <w:t>120</w:t>
            </w:r>
          </w:p>
        </w:tc>
        <w:tc>
          <w:tcPr>
            <w:tcW w:w="2347" w:type="dxa"/>
            <w:noWrap w:val="0"/>
            <w:vAlign w:val="top"/>
          </w:tcPr>
          <w:p w14:paraId="510638C0">
            <w:pPr>
              <w:pStyle w:val="21"/>
              <w:spacing w:after="180"/>
              <w:rPr>
                <w:lang w:eastAsia="zh-CN"/>
              </w:rPr>
            </w:pPr>
            <w:r>
              <w:rPr>
                <w:lang w:eastAsia="zh-CN"/>
              </w:rPr>
              <w:t xml:space="preserve"> 32 ≤ BW ≤ 40</w:t>
            </w:r>
          </w:p>
        </w:tc>
      </w:tr>
      <w:tr w14:paraId="7BAB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7C2835CF">
            <w:pPr>
              <w:pStyle w:val="21"/>
              <w:spacing w:after="180"/>
            </w:pPr>
            <w:r>
              <w:rPr>
                <w:lang w:eastAsia="zh-CN"/>
              </w:rPr>
              <w:t>15</w:t>
            </w:r>
          </w:p>
        </w:tc>
        <w:tc>
          <w:tcPr>
            <w:tcW w:w="2074" w:type="dxa"/>
            <w:vMerge w:val="continue"/>
            <w:noWrap w:val="0"/>
            <w:vAlign w:val="top"/>
          </w:tcPr>
          <w:p w14:paraId="629D6647">
            <w:pPr>
              <w:pStyle w:val="21"/>
              <w:spacing w:after="180"/>
            </w:pPr>
          </w:p>
        </w:tc>
        <w:tc>
          <w:tcPr>
            <w:tcW w:w="1801" w:type="dxa"/>
            <w:vMerge w:val="continue"/>
            <w:noWrap w:val="0"/>
            <w:vAlign w:val="top"/>
          </w:tcPr>
          <w:p w14:paraId="19ED4850">
            <w:pPr>
              <w:pStyle w:val="21"/>
              <w:spacing w:after="180"/>
            </w:pPr>
          </w:p>
        </w:tc>
        <w:tc>
          <w:tcPr>
            <w:tcW w:w="2347" w:type="dxa"/>
            <w:noWrap w:val="0"/>
            <w:vAlign w:val="top"/>
          </w:tcPr>
          <w:p w14:paraId="033132CB">
            <w:pPr>
              <w:pStyle w:val="21"/>
              <w:spacing w:after="180"/>
            </w:pPr>
            <w:r>
              <w:rPr>
                <w:lang w:eastAsia="zh-CN"/>
              </w:rPr>
              <w:t xml:space="preserve"> 44 ≤ BW ≤ 84</w:t>
            </w:r>
          </w:p>
        </w:tc>
      </w:tr>
      <w:tr w14:paraId="568C1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416039AE">
            <w:pPr>
              <w:pStyle w:val="21"/>
              <w:spacing w:after="180"/>
              <w:rPr>
                <w:lang w:eastAsia="zh-CN"/>
              </w:rPr>
            </w:pPr>
            <w:r>
              <w:rPr>
                <w:lang w:eastAsia="zh-CN"/>
              </w:rPr>
              <w:t>8</w:t>
            </w:r>
          </w:p>
        </w:tc>
        <w:tc>
          <w:tcPr>
            <w:tcW w:w="2074" w:type="dxa"/>
            <w:vMerge w:val="continue"/>
            <w:noWrap w:val="0"/>
            <w:vAlign w:val="top"/>
          </w:tcPr>
          <w:p w14:paraId="3B781A05">
            <w:pPr>
              <w:pStyle w:val="21"/>
              <w:spacing w:after="180"/>
            </w:pPr>
          </w:p>
        </w:tc>
        <w:tc>
          <w:tcPr>
            <w:tcW w:w="1801" w:type="dxa"/>
            <w:vMerge w:val="continue"/>
            <w:noWrap w:val="0"/>
            <w:vAlign w:val="top"/>
          </w:tcPr>
          <w:p w14:paraId="7C4E983E">
            <w:pPr>
              <w:pStyle w:val="21"/>
              <w:spacing w:after="180"/>
            </w:pPr>
          </w:p>
        </w:tc>
        <w:tc>
          <w:tcPr>
            <w:tcW w:w="2347" w:type="dxa"/>
            <w:noWrap w:val="0"/>
            <w:vAlign w:val="top"/>
          </w:tcPr>
          <w:p w14:paraId="4B6DD37E">
            <w:pPr>
              <w:pStyle w:val="21"/>
              <w:spacing w:after="180"/>
              <w:rPr>
                <w:lang w:eastAsia="zh-CN"/>
              </w:rPr>
            </w:pPr>
            <w:r>
              <w:rPr>
                <w:lang w:eastAsia="zh-CN"/>
              </w:rPr>
              <w:t>88 ≤ BW</w:t>
            </w:r>
          </w:p>
        </w:tc>
      </w:tr>
      <w:tr w14:paraId="18415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68060D08">
            <w:pPr>
              <w:pStyle w:val="21"/>
              <w:spacing w:after="180"/>
              <w:rPr>
                <w:lang w:eastAsia="zh-CN"/>
              </w:rPr>
            </w:pPr>
            <w:r>
              <w:rPr>
                <w:lang w:eastAsia="zh-CN"/>
              </w:rPr>
              <w:t>16</w:t>
            </w:r>
          </w:p>
        </w:tc>
        <w:tc>
          <w:tcPr>
            <w:tcW w:w="2074" w:type="dxa"/>
            <w:vMerge w:val="restart"/>
            <w:noWrap w:val="0"/>
            <w:vAlign w:val="top"/>
          </w:tcPr>
          <w:p w14:paraId="5C8E65C6">
            <w:pPr>
              <w:pStyle w:val="21"/>
              <w:spacing w:after="180"/>
            </w:pPr>
            <w:r>
              <w:t>≥ +3</w:t>
            </w:r>
          </w:p>
        </w:tc>
        <w:tc>
          <w:tcPr>
            <w:tcW w:w="1801" w:type="dxa"/>
            <w:vMerge w:val="continue"/>
            <w:noWrap w:val="0"/>
            <w:vAlign w:val="top"/>
          </w:tcPr>
          <w:p w14:paraId="5186E53A">
            <w:pPr>
              <w:pStyle w:val="21"/>
              <w:spacing w:after="180"/>
            </w:pPr>
          </w:p>
        </w:tc>
        <w:tc>
          <w:tcPr>
            <w:tcW w:w="2347" w:type="dxa"/>
            <w:noWrap w:val="0"/>
            <w:vAlign w:val="top"/>
          </w:tcPr>
          <w:p w14:paraId="3BB4CD17">
            <w:pPr>
              <w:pStyle w:val="21"/>
              <w:spacing w:after="180"/>
              <w:rPr>
                <w:lang w:eastAsia="zh-CN"/>
              </w:rPr>
            </w:pPr>
            <w:r>
              <w:rPr>
                <w:lang w:eastAsia="zh-CN"/>
              </w:rPr>
              <w:t xml:space="preserve"> 32 ≤ BW ≤ 40</w:t>
            </w:r>
          </w:p>
        </w:tc>
      </w:tr>
      <w:tr w14:paraId="555CF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565AAD6D">
            <w:pPr>
              <w:pStyle w:val="21"/>
              <w:spacing w:after="180"/>
            </w:pPr>
            <w:r>
              <w:rPr>
                <w:lang w:eastAsia="zh-CN"/>
              </w:rPr>
              <w:t>9</w:t>
            </w:r>
          </w:p>
        </w:tc>
        <w:tc>
          <w:tcPr>
            <w:tcW w:w="2074" w:type="dxa"/>
            <w:vMerge w:val="continue"/>
            <w:noWrap w:val="0"/>
            <w:vAlign w:val="top"/>
          </w:tcPr>
          <w:p w14:paraId="3BCB68FC">
            <w:pPr>
              <w:pStyle w:val="21"/>
              <w:spacing w:after="180"/>
            </w:pPr>
          </w:p>
        </w:tc>
        <w:tc>
          <w:tcPr>
            <w:tcW w:w="1801" w:type="dxa"/>
            <w:vMerge w:val="continue"/>
            <w:noWrap w:val="0"/>
            <w:vAlign w:val="top"/>
          </w:tcPr>
          <w:p w14:paraId="212C39E2">
            <w:pPr>
              <w:pStyle w:val="21"/>
              <w:spacing w:after="180"/>
            </w:pPr>
          </w:p>
        </w:tc>
        <w:tc>
          <w:tcPr>
            <w:tcW w:w="2347" w:type="dxa"/>
            <w:noWrap w:val="0"/>
            <w:vAlign w:val="top"/>
          </w:tcPr>
          <w:p w14:paraId="3C9C3797">
            <w:pPr>
              <w:pStyle w:val="21"/>
              <w:spacing w:after="180"/>
            </w:pPr>
            <w:r>
              <w:rPr>
                <w:lang w:eastAsia="zh-CN"/>
              </w:rPr>
              <w:t xml:space="preserve"> 44 ≤ BW ≤ 84</w:t>
            </w:r>
          </w:p>
        </w:tc>
      </w:tr>
      <w:tr w14:paraId="6804F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noWrap w:val="0"/>
            <w:vAlign w:val="top"/>
          </w:tcPr>
          <w:p w14:paraId="4A3C8DC8">
            <w:pPr>
              <w:pStyle w:val="21"/>
              <w:spacing w:after="180"/>
              <w:rPr>
                <w:lang w:eastAsia="zh-CN"/>
              </w:rPr>
            </w:pPr>
            <w:r>
              <w:rPr>
                <w:lang w:eastAsia="zh-CN"/>
              </w:rPr>
              <w:t>8</w:t>
            </w:r>
          </w:p>
        </w:tc>
        <w:tc>
          <w:tcPr>
            <w:tcW w:w="2074" w:type="dxa"/>
            <w:vMerge w:val="continue"/>
            <w:noWrap w:val="0"/>
            <w:vAlign w:val="top"/>
          </w:tcPr>
          <w:p w14:paraId="6241B1E1">
            <w:pPr>
              <w:pStyle w:val="21"/>
              <w:spacing w:after="180"/>
            </w:pPr>
          </w:p>
        </w:tc>
        <w:tc>
          <w:tcPr>
            <w:tcW w:w="1801" w:type="dxa"/>
            <w:vMerge w:val="continue"/>
            <w:noWrap w:val="0"/>
            <w:vAlign w:val="top"/>
          </w:tcPr>
          <w:p w14:paraId="29FC783F">
            <w:pPr>
              <w:pStyle w:val="21"/>
              <w:spacing w:after="180"/>
            </w:pPr>
          </w:p>
        </w:tc>
        <w:tc>
          <w:tcPr>
            <w:tcW w:w="2347" w:type="dxa"/>
            <w:noWrap w:val="0"/>
            <w:vAlign w:val="top"/>
          </w:tcPr>
          <w:p w14:paraId="2893E8B7">
            <w:pPr>
              <w:pStyle w:val="21"/>
              <w:spacing w:after="180"/>
              <w:rPr>
                <w:lang w:eastAsia="zh-CN"/>
              </w:rPr>
            </w:pPr>
            <w:r>
              <w:rPr>
                <w:lang w:eastAsia="zh-CN"/>
              </w:rPr>
              <w:t>88 ≤ BW</w:t>
            </w:r>
          </w:p>
        </w:tc>
      </w:tr>
    </w:tbl>
    <w:p w14:paraId="5C984FFA">
      <w:pPr>
        <w:spacing w:after="180" w:line="240" w:lineRule="exact"/>
        <w:rPr>
          <w:rFonts w:hint="default" w:ascii="Times New Roman" w:hAnsi="Times New Roman" w:eastAsia="等线"/>
          <w:bCs/>
          <w:iCs/>
          <w:sz w:val="20"/>
          <w:szCs w:val="20"/>
          <w:lang w:val="en-US" w:eastAsia="zh-CN"/>
        </w:rPr>
      </w:pPr>
    </w:p>
    <w:p w14:paraId="341FC61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discussion with companies in last meeting, some companies propose not to define requirements for gNB Rx-Tx time difference for case 3a, the reason is that case 3a (gNB Rx-Tx time difference) need to be coupled with case 2a (UE Rx-Tx time difference). The argument is that positioning with RTT method is based on gNB Rx-Tx time difference and UE Rx-Tx time difference. If gNB Rx-Tx time difference is the output of AI/ML model, the UE Rx-Tx time difference also need to be the output of AI/ML model. Since case 2a is deprioritized, and not discussed in RAN1 in Q4, 2024. It is also not possible teo define requirements for gNB Rx-Tx time difference for case 3a. We have different views. There is no restriction that both UE Rx-Tx time difference and gNB Rx-Tx time difference need to be alligned on whether AI/ML model is in use or not. Also RAN1 has discussed this issue and the common understanding that RAN1 proceed with the investigation assuming each case is deployed individually [6].   </w:t>
      </w:r>
    </w:p>
    <w:p w14:paraId="1F997066">
      <w:pPr>
        <w:spacing w:after="180" w:line="240" w:lineRule="exact"/>
        <w:rPr>
          <w:rFonts w:hint="default" w:ascii="Times New Roman" w:hAnsi="Times New Roman" w:eastAsia="等线" w:cs="Times New Roman"/>
          <w:b/>
          <w:bCs w:val="0"/>
          <w:i/>
          <w:iCs w:val="0"/>
          <w:sz w:val="20"/>
          <w:szCs w:val="20"/>
          <w:lang w:val="en-US" w:eastAsia="zh-CN"/>
        </w:rPr>
      </w:pPr>
      <w:r>
        <w:rPr>
          <w:rFonts w:hint="default" w:ascii="Times New Roman" w:hAnsi="Times New Roman" w:eastAsia="等线" w:cs="Times New Roman"/>
          <w:b/>
          <w:bCs w:val="0"/>
          <w:i/>
          <w:iCs w:val="0"/>
          <w:sz w:val="20"/>
          <w:szCs w:val="20"/>
          <w:lang w:val="en-US" w:eastAsia="zh-CN"/>
        </w:rPr>
        <w:t xml:space="preserve">Observation </w:t>
      </w:r>
      <w:r>
        <w:rPr>
          <w:rFonts w:hint="eastAsia" w:ascii="Times New Roman" w:hAnsi="Times New Roman" w:eastAsia="等线" w:cs="Times New Roman"/>
          <w:b/>
          <w:bCs w:val="0"/>
          <w:i/>
          <w:iCs w:val="0"/>
          <w:sz w:val="20"/>
          <w:szCs w:val="20"/>
          <w:lang w:val="en-US" w:eastAsia="zh-CN"/>
        </w:rPr>
        <w:t>2</w:t>
      </w:r>
      <w:r>
        <w:rPr>
          <w:rFonts w:hint="default" w:ascii="Times New Roman" w:hAnsi="Times New Roman" w:eastAsia="等线" w:cs="Times New Roman"/>
          <w:b/>
          <w:bCs w:val="0"/>
          <w:i/>
          <w:iCs w:val="0"/>
          <w:sz w:val="20"/>
          <w:szCs w:val="20"/>
          <w:lang w:val="en-US" w:eastAsia="zh-CN"/>
        </w:rPr>
        <w:t xml:space="preserve">: RAN1 common understanding is that RAN1 proceed with the investigation assuming each case is deployed individually, which means that </w:t>
      </w:r>
      <w:r>
        <w:rPr>
          <w:rFonts w:hint="default" w:ascii="Times New Roman" w:hAnsi="Times New Roman" w:cs="Times New Roman"/>
          <w:b/>
          <w:bCs w:val="0"/>
          <w:i/>
          <w:iCs w:val="0"/>
          <w:sz w:val="20"/>
          <w:szCs w:val="20"/>
          <w:lang w:val="en-US"/>
        </w:rPr>
        <w:t>Case 2a and Case 3a can be used individually</w:t>
      </w:r>
      <w:r>
        <w:rPr>
          <w:rFonts w:hint="default" w:ascii="Times New Roman" w:hAnsi="Times New Roman" w:cs="Times New Roman"/>
          <w:b/>
          <w:bCs w:val="0"/>
          <w:i/>
          <w:iCs w:val="0"/>
          <w:sz w:val="20"/>
          <w:szCs w:val="20"/>
          <w:lang w:val="en-US" w:eastAsia="zh-CN"/>
        </w:rPr>
        <w:t xml:space="preserve">. </w:t>
      </w:r>
    </w:p>
    <w:p w14:paraId="1443DF0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legacy gNB Rx-Tx time difference, reporting mapping and measurement accuracy requirements are defined, which can be reused for case 3a/3b.</w:t>
      </w:r>
    </w:p>
    <w:p w14:paraId="612B22F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case 3a, it is proposed to take legacy accuracy requirements for </w:t>
      </w:r>
      <w:r>
        <w:rPr>
          <w:rFonts w:hint="eastAsia" w:ascii="Times New Roman" w:hAnsi="Times New Roman" w:cs="Times New Roman"/>
          <w:b/>
          <w:bCs w:val="0"/>
          <w:i/>
          <w:iCs w:val="0"/>
          <w:sz w:val="20"/>
          <w:szCs w:val="20"/>
          <w:lang w:val="en-US" w:eastAsia="zh-CN"/>
        </w:rPr>
        <w:t>gNB Rx-Tx time difference as baseline.</w:t>
      </w:r>
    </w:p>
    <w:p w14:paraId="34C6226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AC2D3A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RRM requirements for positioning. The proposals are:</w:t>
      </w:r>
    </w:p>
    <w:p w14:paraId="5651952C">
      <w:pPr>
        <w:spacing w:after="180" w:line="240" w:lineRule="exact"/>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
          <w:bCs w:val="0"/>
          <w:i/>
          <w:iCs w:val="0"/>
          <w:sz w:val="20"/>
          <w:szCs w:val="20"/>
          <w:u w:val="none"/>
          <w:lang w:val="en-US" w:eastAsia="zh-CN"/>
        </w:rPr>
        <w:t xml:space="preserve">Proposal 1: for case 1, it is proposed to define </w:t>
      </w:r>
      <w:r>
        <w:rPr>
          <w:rFonts w:hint="eastAsia" w:ascii="Times New Roman" w:hAnsi="Times New Roman"/>
          <w:b/>
          <w:bCs w:val="0"/>
          <w:i/>
          <w:iCs w:val="0"/>
          <w:sz w:val="20"/>
          <w:szCs w:val="20"/>
          <w:u w:val="none"/>
          <w:lang w:val="en-US" w:eastAsia="zh-CN"/>
        </w:rPr>
        <w:t>positioning accuracy requirement, which is the difference between ground truth (real position) and reported position.</w:t>
      </w:r>
      <w:r>
        <w:rPr>
          <w:rFonts w:hint="eastAsia" w:ascii="Times New Roman" w:hAnsi="Times New Roman" w:eastAsia="等线" w:cs="Times New Roman"/>
          <w:b/>
          <w:bCs w:val="0"/>
          <w:i/>
          <w:iCs w:val="0"/>
          <w:sz w:val="20"/>
          <w:szCs w:val="20"/>
          <w:u w:val="none"/>
          <w:lang w:val="en-US" w:eastAsia="zh-CN"/>
        </w:rPr>
        <w:t xml:space="preserve"> </w:t>
      </w:r>
    </w:p>
    <w:p w14:paraId="5A9239BC">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2: </w:t>
      </w:r>
      <w:r>
        <w:rPr>
          <w:rFonts w:hint="eastAsia" w:ascii="Times New Roman" w:hAnsi="Times New Roman" w:eastAsia="等线" w:cs="Times New Roman"/>
          <w:b/>
          <w:bCs w:val="0"/>
          <w:i/>
          <w:iCs w:val="0"/>
          <w:sz w:val="20"/>
          <w:szCs w:val="20"/>
          <w:u w:val="none"/>
          <w:lang w:val="en-US" w:eastAsia="zh-CN"/>
        </w:rPr>
        <w:t xml:space="preserve">for case 1, it is proposed to define delay related requirements, e.g. </w:t>
      </w:r>
      <w:r>
        <w:rPr>
          <w:rFonts w:hint="eastAsia" w:ascii="Times New Roman" w:hAnsi="Times New Roman" w:eastAsia="等线" w:cs="Times New Roman"/>
          <w:b/>
          <w:bCs w:val="0"/>
          <w:i/>
          <w:iCs w:val="0"/>
          <w:sz w:val="20"/>
          <w:szCs w:val="20"/>
          <w:lang w:val="en-US" w:eastAsia="zh-CN"/>
        </w:rPr>
        <w:t>prediction delay, LCM related delay.</w:t>
      </w:r>
    </w:p>
    <w:p w14:paraId="31E4851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for </w:t>
      </w:r>
      <w:r>
        <w:rPr>
          <w:rFonts w:hint="default" w:ascii="Times New Roman" w:hAnsi="Times New Roman" w:cs="Times New Roman"/>
          <w:b/>
          <w:bCs w:val="0"/>
          <w:i/>
          <w:iCs w:val="0"/>
          <w:sz w:val="20"/>
          <w:szCs w:val="20"/>
        </w:rPr>
        <w:t>AI/ML assisted positioning</w:t>
      </w:r>
      <w:r>
        <w:rPr>
          <w:rFonts w:hint="eastAsia" w:ascii="Times New Roman" w:hAnsi="Times New Roman" w:cs="Times New Roman"/>
          <w:b/>
          <w:bCs w:val="0"/>
          <w:i/>
          <w:iCs w:val="0"/>
          <w:sz w:val="20"/>
          <w:szCs w:val="20"/>
          <w:lang w:val="en-US" w:eastAsia="zh-CN"/>
        </w:rPr>
        <w:t xml:space="preserve"> </w:t>
      </w:r>
      <w:r>
        <w:rPr>
          <w:rFonts w:hint="eastAsia" w:ascii="Times New Roman" w:hAnsi="Times New Roman" w:eastAsia="等线"/>
          <w:b/>
          <w:bCs w:val="0"/>
          <w:i/>
          <w:iCs w:val="0"/>
          <w:sz w:val="20"/>
          <w:szCs w:val="20"/>
          <w:lang w:val="en-US" w:eastAsia="zh-CN"/>
        </w:rPr>
        <w:t xml:space="preserve">case 3a, RAN1 agreed that UL RTOA, gNB Rx-Tx time difference </w:t>
      </w:r>
      <w:r>
        <w:rPr>
          <w:rFonts w:hint="default" w:ascii="Times New Roman" w:hAnsi="Times New Roman" w:cs="Times New Roman"/>
          <w:b/>
          <w:bCs w:val="0"/>
          <w:i/>
          <w:iCs w:val="0"/>
          <w:sz w:val="20"/>
          <w:szCs w:val="20"/>
        </w:rPr>
        <w:t>are supported for reporting.</w:t>
      </w:r>
      <w:r>
        <w:rPr>
          <w:rFonts w:hint="eastAsia" w:ascii="Times New Roman" w:hAnsi="Times New Roman" w:eastAsia="等线"/>
          <w:b/>
          <w:bCs w:val="0"/>
          <w:i/>
          <w:iCs w:val="0"/>
          <w:sz w:val="20"/>
          <w:szCs w:val="20"/>
          <w:lang w:val="en-US" w:eastAsia="zh-CN"/>
        </w:rPr>
        <w:t xml:space="preserve"> </w:t>
      </w:r>
    </w:p>
    <w:p w14:paraId="65F2A588">
      <w:pPr>
        <w:spacing w:after="180" w:line="240" w:lineRule="exact"/>
        <w:rPr>
          <w:rFonts w:hint="default" w:ascii="Times New Roman" w:hAnsi="Times New Roman" w:eastAsia="等线" w:cs="Times New Roman"/>
          <w:b/>
          <w:bCs w:val="0"/>
          <w:i/>
          <w:iCs w:val="0"/>
          <w:sz w:val="20"/>
          <w:szCs w:val="20"/>
          <w:lang w:val="en-US" w:eastAsia="zh-CN"/>
        </w:rPr>
      </w:pPr>
      <w:r>
        <w:rPr>
          <w:rFonts w:hint="default" w:ascii="Times New Roman" w:hAnsi="Times New Roman" w:eastAsia="等线" w:cs="Times New Roman"/>
          <w:b/>
          <w:bCs w:val="0"/>
          <w:i/>
          <w:iCs w:val="0"/>
          <w:sz w:val="20"/>
          <w:szCs w:val="20"/>
          <w:lang w:val="en-US" w:eastAsia="zh-CN"/>
        </w:rPr>
        <w:t xml:space="preserve">Observation </w:t>
      </w:r>
      <w:r>
        <w:rPr>
          <w:rFonts w:hint="eastAsia" w:ascii="Times New Roman" w:hAnsi="Times New Roman" w:eastAsia="等线" w:cs="Times New Roman"/>
          <w:b/>
          <w:bCs w:val="0"/>
          <w:i/>
          <w:iCs w:val="0"/>
          <w:sz w:val="20"/>
          <w:szCs w:val="20"/>
          <w:lang w:val="en-US" w:eastAsia="zh-CN"/>
        </w:rPr>
        <w:t>2</w:t>
      </w:r>
      <w:r>
        <w:rPr>
          <w:rFonts w:hint="default" w:ascii="Times New Roman" w:hAnsi="Times New Roman" w:eastAsia="等线" w:cs="Times New Roman"/>
          <w:b/>
          <w:bCs w:val="0"/>
          <w:i/>
          <w:iCs w:val="0"/>
          <w:sz w:val="20"/>
          <w:szCs w:val="20"/>
          <w:lang w:val="en-US" w:eastAsia="zh-CN"/>
        </w:rPr>
        <w:t xml:space="preserve">: RAN1 common understanding is that RAN1 proceed with the investigation assuming each case is deployed individually, which means that </w:t>
      </w:r>
      <w:r>
        <w:rPr>
          <w:rFonts w:hint="default" w:ascii="Times New Roman" w:hAnsi="Times New Roman" w:cs="Times New Roman"/>
          <w:b/>
          <w:bCs w:val="0"/>
          <w:i/>
          <w:iCs w:val="0"/>
          <w:sz w:val="20"/>
          <w:szCs w:val="20"/>
          <w:lang w:val="en-US"/>
        </w:rPr>
        <w:t>Case 2a and Case 3a can be used individually</w:t>
      </w:r>
      <w:r>
        <w:rPr>
          <w:rFonts w:hint="default" w:ascii="Times New Roman" w:hAnsi="Times New Roman" w:cs="Times New Roman"/>
          <w:b/>
          <w:bCs w:val="0"/>
          <w:i/>
          <w:iCs w:val="0"/>
          <w:sz w:val="20"/>
          <w:szCs w:val="20"/>
          <w:lang w:val="en-US" w:eastAsia="zh-CN"/>
        </w:rPr>
        <w:t xml:space="preserve">. </w:t>
      </w:r>
    </w:p>
    <w:p w14:paraId="60AD8F0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case 3a, it is proposed to take legacy accuracy requirements for </w:t>
      </w:r>
      <w:r>
        <w:rPr>
          <w:rFonts w:hint="eastAsia" w:ascii="Times New Roman" w:hAnsi="Times New Roman" w:cs="Times New Roman"/>
          <w:b/>
          <w:bCs w:val="0"/>
          <w:i/>
          <w:iCs w:val="0"/>
          <w:sz w:val="20"/>
          <w:szCs w:val="20"/>
          <w:lang w:val="en-US" w:eastAsia="zh-CN"/>
        </w:rPr>
        <w:t>gNB Rx-Tx time difference as baseline.</w:t>
      </w:r>
    </w:p>
    <w:p w14:paraId="70B08BA8">
      <w:pPr>
        <w:tabs>
          <w:tab w:val="left" w:pos="1134"/>
        </w:tabs>
        <w:spacing w:after="180" w:line="240" w:lineRule="exact"/>
        <w:rPr>
          <w:rFonts w:hint="eastAsia" w:ascii="Times New Roman" w:hAnsi="Times New Roman"/>
          <w:sz w:val="20"/>
          <w:szCs w:val="20"/>
        </w:rPr>
      </w:pPr>
    </w:p>
    <w:p w14:paraId="670EA780">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4B7F904">
      <w:pPr>
        <w:pStyle w:val="17"/>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22D4C8">
      <w:pPr>
        <w:pStyle w:val="17"/>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03D960E2">
      <w:pPr>
        <w:pStyle w:val="17"/>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the requirements for AI/ML air interfance, Qualcomm Incorporated</w:t>
      </w:r>
    </w:p>
    <w:p w14:paraId="4B1FD71B">
      <w:pPr>
        <w:pStyle w:val="17"/>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4401E20B">
      <w:pPr>
        <w:pStyle w:val="17"/>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597876BB">
      <w:pPr>
        <w:pStyle w:val="17"/>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46D50C2">
      <w:pPr>
        <w:pStyle w:val="17"/>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959D143">
      <w:pPr>
        <w:pStyle w:val="17"/>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2EE5793">
      <w:pPr>
        <w:pStyle w:val="17"/>
        <w:framePr w:wrap="auto" w:vAnchor="margin" w:hAnchor="text" w:yAlign="inline"/>
        <w:numPr>
          <w:ilvl w:val="0"/>
          <w:numId w:val="12"/>
        </w:numPr>
        <w:ind w:right="400"/>
        <w:jc w:val="both"/>
        <w:rPr>
          <w:rFonts w:hint="eastAsia" w:ascii="Times" w:hAnsi="Times" w:eastAsia="宋体"/>
          <w:b w:val="0"/>
          <w:sz w:val="20"/>
          <w:lang w:val="en-US" w:eastAsia="zh-CN"/>
        </w:rPr>
      </w:pPr>
      <w:r>
        <w:rPr>
          <w:rFonts w:hint="eastAsia" w:ascii="Times" w:hAnsi="Times" w:eastAsia="宋体"/>
          <w:b w:val="0"/>
          <w:sz w:val="20"/>
          <w:lang w:val="en-US" w:eastAsia="zh-CN"/>
        </w:rPr>
        <w:t>3GPP TR 38.843, Study on Artificial Intelligence (AI)/Machine Learning (ML) for NR air interface</w:t>
      </w:r>
    </w:p>
    <w:p w14:paraId="68EF2125">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R1-2405389</w:t>
      </w:r>
      <w:r>
        <w:rPr>
          <w:rFonts w:hint="eastAsia" w:ascii="Times" w:hAnsi="Times" w:eastAsia="宋体"/>
          <w:b w:val="0"/>
          <w:sz w:val="20"/>
          <w:lang w:val="en-US" w:eastAsia="zh-CN"/>
        </w:rPr>
        <w:t>, Summary #5 of specification support for positioning accuracy enhancement</w:t>
      </w:r>
    </w:p>
    <w:p w14:paraId="3CCD5916">
      <w:pPr>
        <w:pStyle w:val="17"/>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val="en-US" w:eastAsia="zh-CN"/>
        </w:rPr>
        <w:t xml:space="preserve">R4-2501758, </w:t>
      </w:r>
      <w:r>
        <w:rPr>
          <w:rFonts w:hint="eastAsia" w:ascii="Times" w:hAnsi="Times" w:eastAsia="宋体"/>
          <w:b w:val="0"/>
          <w:sz w:val="20"/>
          <w:lang w:eastAsia="zh-CN"/>
        </w:rPr>
        <w:t>On requirements for AI/ML based positioning</w:t>
      </w:r>
      <w:r>
        <w:rPr>
          <w:rFonts w:hint="eastAsia" w:ascii="Times" w:hAnsi="Times" w:eastAsia="宋体"/>
          <w:b w:val="0"/>
          <w:sz w:val="20"/>
          <w:lang w:val="en-US" w:eastAsia="zh-CN"/>
        </w:rPr>
        <w:t>, Ericsson</w:t>
      </w:r>
    </w:p>
    <w:p w14:paraId="3D012058">
      <w:pPr>
        <w:pStyle w:val="17"/>
        <w:framePr w:wrap="auto" w:vAnchor="margin" w:hAnchor="text" w:yAlign="inline"/>
        <w:ind w:right="400"/>
        <w:jc w:val="both"/>
        <w:rPr>
          <w:rFonts w:ascii="Times" w:hAnsi="Times" w:eastAsia="宋体"/>
          <w:b w:val="0"/>
          <w:sz w:val="20"/>
          <w:lang w:eastAsia="zh-CN"/>
        </w:rPr>
      </w:pPr>
    </w:p>
    <w:p w14:paraId="26B59D20">
      <w:pPr>
        <w:pStyle w:val="17"/>
        <w:framePr w:wrap="auto" w:vAnchor="margin" w:hAnchor="text" w:yAlign="inline"/>
        <w:ind w:right="400"/>
        <w:jc w:val="both"/>
        <w:rPr>
          <w:rFonts w:hint="eastAsia" w:ascii="Times" w:hAnsi="Times" w:eastAsia="宋体"/>
          <w:b w:val="0"/>
          <w:sz w:val="20"/>
          <w:lang w:val="en-US" w:eastAsia="zh-CN"/>
        </w:rPr>
      </w:pPr>
    </w:p>
    <w:p w14:paraId="3F29A040"/>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ms Rmn">
    <w:altName w:val="Segoe Print"/>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DD16DCB"/>
    <w:multiLevelType w:val="singleLevel"/>
    <w:tmpl w:val="0DD16DCB"/>
    <w:lvl w:ilvl="0" w:tentative="0">
      <w:start w:val="5"/>
      <w:numFmt w:val="decimal"/>
      <w:suff w:val="space"/>
      <w:lvlText w:val="[%1]"/>
      <w:lvlJc w:val="left"/>
    </w:lvl>
  </w:abstractNum>
  <w:abstractNum w:abstractNumId="2">
    <w:nsid w:val="1D44622A"/>
    <w:multiLevelType w:val="multilevel"/>
    <w:tmpl w:val="1D4462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FE22203"/>
    <w:multiLevelType w:val="multilevel"/>
    <w:tmpl w:val="2FE2220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9687885"/>
    <w:multiLevelType w:val="multilevel"/>
    <w:tmpl w:val="396878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6C280105"/>
    <w:multiLevelType w:val="multilevel"/>
    <w:tmpl w:val="6C2801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FBB3F6D"/>
    <w:multiLevelType w:val="singleLevel"/>
    <w:tmpl w:val="7FBB3F6D"/>
    <w:lvl w:ilvl="0" w:tentative="0">
      <w:start w:val="1"/>
      <w:numFmt w:val="bullet"/>
      <w:lvlText w:val=""/>
      <w:lvlJc w:val="left"/>
      <w:pPr>
        <w:tabs>
          <w:tab w:val="left" w:pos="420"/>
        </w:tabs>
        <w:ind w:left="840" w:hanging="420"/>
      </w:pPr>
      <w:rPr>
        <w:rFonts w:hint="default" w:ascii="Wingdings" w:hAnsi="Wingdings"/>
      </w:rPr>
    </w:lvl>
  </w:abstractNum>
  <w:num w:numId="1">
    <w:abstractNumId w:val="10"/>
  </w:num>
  <w:num w:numId="2">
    <w:abstractNumId w:val="6"/>
  </w:num>
  <w:num w:numId="3">
    <w:abstractNumId w:val="3"/>
  </w:num>
  <w:num w:numId="4">
    <w:abstractNumId w:val="8"/>
  </w:num>
  <w:num w:numId="5">
    <w:abstractNumId w:val="7"/>
  </w:num>
  <w:num w:numId="6">
    <w:abstractNumId w:val="2"/>
  </w:num>
  <w:num w:numId="7">
    <w:abstractNumId w:val="5"/>
  </w:num>
  <w:num w:numId="8">
    <w:abstractNumId w:val="11"/>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64DF8"/>
    <w:rsid w:val="08357123"/>
    <w:rsid w:val="0A12645E"/>
    <w:rsid w:val="0B5B2331"/>
    <w:rsid w:val="0C7C4062"/>
    <w:rsid w:val="0EC869C6"/>
    <w:rsid w:val="0FE50EF5"/>
    <w:rsid w:val="107F695B"/>
    <w:rsid w:val="11C112E5"/>
    <w:rsid w:val="15685863"/>
    <w:rsid w:val="15C5068C"/>
    <w:rsid w:val="19AD6153"/>
    <w:rsid w:val="1A4B52AF"/>
    <w:rsid w:val="1AE254F2"/>
    <w:rsid w:val="1E7B3D90"/>
    <w:rsid w:val="2D1359EF"/>
    <w:rsid w:val="308E7578"/>
    <w:rsid w:val="33BC18EF"/>
    <w:rsid w:val="3647586B"/>
    <w:rsid w:val="3A1815FF"/>
    <w:rsid w:val="3DEF01B7"/>
    <w:rsid w:val="3FC16E3E"/>
    <w:rsid w:val="42426621"/>
    <w:rsid w:val="44A66B12"/>
    <w:rsid w:val="4A685401"/>
    <w:rsid w:val="4D3D03C8"/>
    <w:rsid w:val="4F2B131D"/>
    <w:rsid w:val="54465BC6"/>
    <w:rsid w:val="54E439E0"/>
    <w:rsid w:val="5C790B4E"/>
    <w:rsid w:val="5D210D3B"/>
    <w:rsid w:val="5E3B51B9"/>
    <w:rsid w:val="60182E76"/>
    <w:rsid w:val="647D689B"/>
    <w:rsid w:val="667167B1"/>
    <w:rsid w:val="6D205895"/>
    <w:rsid w:val="6D303931"/>
    <w:rsid w:val="6E3077EF"/>
    <w:rsid w:val="6FCE1A42"/>
    <w:rsid w:val="704E733C"/>
    <w:rsid w:val="72A94019"/>
    <w:rsid w:val="75886832"/>
    <w:rsid w:val="783201C2"/>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List 2"/>
    <w:basedOn w:val="1"/>
    <w:unhideWhenUsed/>
    <w:qFormat/>
    <w:uiPriority w:val="99"/>
    <w:pPr>
      <w:ind w:left="100" w:leftChars="200" w:hanging="200" w:hangingChars="200"/>
      <w:contextualSpacing/>
    </w:pPr>
  </w:style>
  <w:style w:type="paragraph" w:styleId="9">
    <w:name w:val="Date"/>
    <w:basedOn w:val="1"/>
    <w:next w:val="1"/>
    <w:unhideWhenUsed/>
    <w:qFormat/>
    <w:uiPriority w:val="99"/>
    <w:pPr>
      <w:ind w:left="100" w:leftChars="2500"/>
    </w:pPr>
  </w:style>
  <w:style w:type="paragraph" w:styleId="10">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1">
    <w:name w:val="List"/>
    <w:basedOn w:val="1"/>
    <w:unhideWhenUsed/>
    <w:qFormat/>
    <w:uiPriority w:val="99"/>
    <w:pPr>
      <w:ind w:left="200" w:hanging="200" w:hangingChars="200"/>
      <w:contextualSpacing/>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11"/>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9">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20">
    <w:name w:val="TAH"/>
    <w:basedOn w:val="21"/>
    <w:qFormat/>
    <w:uiPriority w:val="0"/>
    <w:rPr>
      <w:b/>
      <w:bCs/>
    </w:rPr>
  </w:style>
  <w:style w:type="paragraph" w:customStyle="1" w:styleId="21">
    <w:name w:val="TAC"/>
    <w:basedOn w:val="22"/>
    <w:qFormat/>
    <w:uiPriority w:val="0"/>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paragraph" w:customStyle="1" w:styleId="22">
    <w:name w:val="TAL"/>
    <w:basedOn w:val="1"/>
    <w:qFormat/>
    <w:uiPriority w:val="0"/>
    <w:pPr>
      <w:keepNext/>
      <w:keepLines/>
      <w:widowControl/>
      <w:jc w:val="left"/>
    </w:pPr>
    <w:rPr>
      <w:rFonts w:ascii="Arial" w:hAnsi="Arial"/>
      <w:kern w:val="0"/>
      <w:sz w:val="18"/>
      <w:szCs w:val="20"/>
      <w:lang w:val="en-GB" w:eastAsia="en-US"/>
    </w:rPr>
  </w:style>
  <w:style w:type="table" w:customStyle="1" w:styleId="23">
    <w:name w:val="Table Grid6"/>
    <w:basedOn w:val="12"/>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B2"/>
    <w:basedOn w:val="8"/>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 w:type="paragraph" w:customStyle="1" w:styleId="25">
    <w:name w:val="B3"/>
    <w:basedOn w:val="1"/>
    <w:qFormat/>
    <w:uiPriority w:val="0"/>
    <w:pPr>
      <w:ind w:left="1135"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2025-03-28T07:36:36Z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